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AF" w:rsidRPr="002038AF" w:rsidRDefault="002038AF" w:rsidP="002038AF">
      <w:pPr>
        <w:spacing w:after="0" w:line="240" w:lineRule="auto"/>
        <w:jc w:val="center"/>
        <w:rPr>
          <w:rFonts w:ascii="Times New Roman" w:hAnsi="Times New Roman" w:cs="Times New Roman"/>
          <w:b/>
          <w:sz w:val="28"/>
          <w:szCs w:val="28"/>
        </w:rPr>
      </w:pPr>
      <w:bookmarkStart w:id="0" w:name="_GoBack"/>
      <w:bookmarkEnd w:id="0"/>
      <w:r w:rsidRPr="002038AF">
        <w:rPr>
          <w:rFonts w:ascii="Times New Roman" w:hAnsi="Times New Roman" w:cs="Times New Roman"/>
          <w:b/>
          <w:sz w:val="28"/>
          <w:szCs w:val="28"/>
        </w:rPr>
        <w:t>Обзор изменений законодательства в сфере ПОД/ФТ в 2018 году, затрагивающих деятельность</w:t>
      </w:r>
    </w:p>
    <w:p w:rsidR="002038AF" w:rsidRPr="002038AF" w:rsidRDefault="002038AF" w:rsidP="002038AF">
      <w:pPr>
        <w:spacing w:after="0" w:line="240" w:lineRule="auto"/>
        <w:jc w:val="center"/>
        <w:rPr>
          <w:rFonts w:ascii="Times New Roman" w:hAnsi="Times New Roman" w:cs="Times New Roman"/>
          <w:b/>
          <w:sz w:val="28"/>
          <w:szCs w:val="28"/>
        </w:rPr>
      </w:pPr>
      <w:r w:rsidRPr="002038AF">
        <w:rPr>
          <w:rFonts w:ascii="Times New Roman" w:hAnsi="Times New Roman" w:cs="Times New Roman"/>
          <w:b/>
          <w:sz w:val="28"/>
          <w:szCs w:val="28"/>
        </w:rPr>
        <w:t xml:space="preserve"> некредитных финансовых организаций, поднадзорных Банку России</w:t>
      </w:r>
    </w:p>
    <w:p w:rsidR="002038AF" w:rsidRDefault="002038AF" w:rsidP="002038AF">
      <w:pPr>
        <w:spacing w:after="120" w:line="240" w:lineRule="auto"/>
        <w:jc w:val="center"/>
        <w:rPr>
          <w:rFonts w:ascii="Times New Roman" w:hAnsi="Times New Roman" w:cs="Times New Roman"/>
          <w:sz w:val="28"/>
          <w:szCs w:val="28"/>
        </w:rPr>
      </w:pPr>
    </w:p>
    <w:tbl>
      <w:tblPr>
        <w:tblStyle w:val="a3"/>
        <w:tblW w:w="15417" w:type="dxa"/>
        <w:tblLayout w:type="fixed"/>
        <w:tblLook w:val="04A0" w:firstRow="1" w:lastRow="0" w:firstColumn="1" w:lastColumn="0" w:noHBand="0" w:noVBand="1"/>
      </w:tblPr>
      <w:tblGrid>
        <w:gridCol w:w="534"/>
        <w:gridCol w:w="4961"/>
        <w:gridCol w:w="6379"/>
        <w:gridCol w:w="1417"/>
        <w:gridCol w:w="2126"/>
      </w:tblGrid>
      <w:tr w:rsidR="00CA5646" w:rsidTr="00CA5646">
        <w:tc>
          <w:tcPr>
            <w:tcW w:w="534" w:type="dxa"/>
          </w:tcPr>
          <w:p w:rsidR="00CA5646" w:rsidRPr="002038AF" w:rsidRDefault="00CA5646" w:rsidP="002038AF">
            <w:pPr>
              <w:spacing w:after="120"/>
              <w:jc w:val="center"/>
              <w:rPr>
                <w:rFonts w:ascii="Times New Roman" w:hAnsi="Times New Roman" w:cs="Times New Roman"/>
                <w:sz w:val="24"/>
                <w:szCs w:val="24"/>
              </w:rPr>
            </w:pPr>
            <w:r w:rsidRPr="002038AF">
              <w:rPr>
                <w:rFonts w:ascii="Times New Roman" w:hAnsi="Times New Roman" w:cs="Times New Roman"/>
                <w:sz w:val="24"/>
                <w:szCs w:val="24"/>
              </w:rPr>
              <w:t>№</w:t>
            </w:r>
          </w:p>
        </w:tc>
        <w:tc>
          <w:tcPr>
            <w:tcW w:w="4961" w:type="dxa"/>
          </w:tcPr>
          <w:p w:rsidR="00CA5646" w:rsidRPr="002038AF" w:rsidRDefault="00CA5646" w:rsidP="002038AF">
            <w:pPr>
              <w:spacing w:after="120"/>
              <w:jc w:val="center"/>
              <w:rPr>
                <w:rFonts w:ascii="Times New Roman" w:hAnsi="Times New Roman" w:cs="Times New Roman"/>
                <w:sz w:val="24"/>
                <w:szCs w:val="24"/>
              </w:rPr>
            </w:pPr>
            <w:r w:rsidRPr="002038AF">
              <w:rPr>
                <w:rFonts w:ascii="Times New Roman" w:hAnsi="Times New Roman" w:cs="Times New Roman"/>
                <w:sz w:val="24"/>
                <w:szCs w:val="24"/>
              </w:rPr>
              <w:t>Название нормативного акта</w:t>
            </w:r>
          </w:p>
        </w:tc>
        <w:tc>
          <w:tcPr>
            <w:tcW w:w="6379" w:type="dxa"/>
          </w:tcPr>
          <w:p w:rsidR="00CA5646" w:rsidRPr="002038AF" w:rsidRDefault="00CA5646" w:rsidP="002038AF">
            <w:pPr>
              <w:spacing w:after="120"/>
              <w:jc w:val="center"/>
              <w:rPr>
                <w:rFonts w:ascii="Times New Roman" w:hAnsi="Times New Roman" w:cs="Times New Roman"/>
                <w:sz w:val="24"/>
                <w:szCs w:val="24"/>
              </w:rPr>
            </w:pPr>
            <w:r w:rsidRPr="002038AF">
              <w:rPr>
                <w:rFonts w:ascii="Times New Roman" w:hAnsi="Times New Roman" w:cs="Times New Roman"/>
                <w:sz w:val="24"/>
                <w:szCs w:val="24"/>
              </w:rPr>
              <w:t>Суть изменений</w:t>
            </w:r>
          </w:p>
        </w:tc>
        <w:tc>
          <w:tcPr>
            <w:tcW w:w="1417" w:type="dxa"/>
          </w:tcPr>
          <w:p w:rsidR="00CA5646" w:rsidRPr="002038AF" w:rsidRDefault="00CA5646" w:rsidP="002038AF">
            <w:pPr>
              <w:spacing w:after="120"/>
              <w:jc w:val="center"/>
              <w:rPr>
                <w:rFonts w:ascii="Times New Roman" w:hAnsi="Times New Roman" w:cs="Times New Roman"/>
                <w:sz w:val="24"/>
                <w:szCs w:val="24"/>
              </w:rPr>
            </w:pPr>
            <w:r w:rsidRPr="002038AF">
              <w:rPr>
                <w:rFonts w:ascii="Times New Roman" w:hAnsi="Times New Roman" w:cs="Times New Roman"/>
                <w:sz w:val="24"/>
                <w:szCs w:val="24"/>
              </w:rPr>
              <w:t>какими НФО применяется</w:t>
            </w:r>
          </w:p>
        </w:tc>
        <w:tc>
          <w:tcPr>
            <w:tcW w:w="2126" w:type="dxa"/>
          </w:tcPr>
          <w:p w:rsidR="00CA5646" w:rsidRPr="002038AF" w:rsidRDefault="00CA5646" w:rsidP="002038AF">
            <w:pPr>
              <w:spacing w:after="120"/>
              <w:jc w:val="center"/>
              <w:rPr>
                <w:rFonts w:ascii="Times New Roman" w:hAnsi="Times New Roman" w:cs="Times New Roman"/>
                <w:sz w:val="24"/>
                <w:szCs w:val="24"/>
              </w:rPr>
            </w:pPr>
            <w:r w:rsidRPr="002038AF">
              <w:rPr>
                <w:rFonts w:ascii="Times New Roman" w:hAnsi="Times New Roman" w:cs="Times New Roman"/>
                <w:sz w:val="24"/>
                <w:szCs w:val="24"/>
              </w:rPr>
              <w:t>Требовались ли изменения в ПВК по ПОД/ФТ</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xml:space="preserve">1. </w:t>
            </w:r>
          </w:p>
        </w:tc>
        <w:tc>
          <w:tcPr>
            <w:tcW w:w="4961" w:type="dxa"/>
          </w:tcPr>
          <w:p w:rsidR="00CA5646" w:rsidRPr="00CA5646" w:rsidRDefault="00CA5646" w:rsidP="00CA5646">
            <w:pPr>
              <w:shd w:val="clear" w:color="auto" w:fill="FFFFFF"/>
              <w:spacing w:after="144" w:line="242" w:lineRule="atLeast"/>
              <w:jc w:val="both"/>
              <w:outlineLvl w:val="0"/>
              <w:rPr>
                <w:rFonts w:ascii="Times New Roman" w:eastAsia="Times New Roman" w:hAnsi="Times New Roman" w:cs="Times New Roman"/>
                <w:bCs/>
                <w:color w:val="333333"/>
                <w:kern w:val="36"/>
                <w:sz w:val="24"/>
                <w:szCs w:val="24"/>
                <w:lang w:eastAsia="ru-RU"/>
              </w:rPr>
            </w:pPr>
            <w:r w:rsidRPr="002038AF">
              <w:rPr>
                <w:rFonts w:ascii="Times New Roman" w:eastAsia="Times New Roman" w:hAnsi="Times New Roman" w:cs="Times New Roman"/>
                <w:bCs/>
                <w:color w:val="333333"/>
                <w:kern w:val="36"/>
                <w:sz w:val="24"/>
                <w:szCs w:val="24"/>
                <w:lang w:eastAsia="ru-RU"/>
              </w:rPr>
              <w:t xml:space="preserve">Федеральный закон </w:t>
            </w:r>
            <w:r w:rsidRPr="00CA5646">
              <w:rPr>
                <w:rFonts w:ascii="Times New Roman" w:eastAsia="Times New Roman" w:hAnsi="Times New Roman" w:cs="Times New Roman"/>
                <w:bCs/>
                <w:color w:val="333333"/>
                <w:kern w:val="36"/>
                <w:sz w:val="24"/>
                <w:szCs w:val="24"/>
                <w:lang w:eastAsia="ru-RU"/>
              </w:rPr>
              <w:t>«</w:t>
            </w:r>
            <w:r w:rsidRPr="002038AF">
              <w:rPr>
                <w:rFonts w:ascii="Times New Roman" w:eastAsia="Times New Roman" w:hAnsi="Times New Roman" w:cs="Times New Roman"/>
                <w:bCs/>
                <w:color w:val="333333"/>
                <w:kern w:val="36"/>
                <w:sz w:val="24"/>
                <w:szCs w:val="24"/>
                <w:lang w:eastAsia="ru-RU"/>
              </w:rPr>
              <w:t>О внесении изменений в отдельные законодательные акты Российской Федерации</w:t>
            </w:r>
            <w:r w:rsidRPr="00CA5646">
              <w:rPr>
                <w:rFonts w:ascii="Times New Roman" w:eastAsia="Times New Roman" w:hAnsi="Times New Roman" w:cs="Times New Roman"/>
                <w:bCs/>
                <w:color w:val="333333"/>
                <w:kern w:val="36"/>
                <w:sz w:val="24"/>
                <w:szCs w:val="24"/>
                <w:lang w:eastAsia="ru-RU"/>
              </w:rPr>
              <w:t>»</w:t>
            </w:r>
            <w:r w:rsidRPr="002038AF">
              <w:rPr>
                <w:rFonts w:ascii="Times New Roman" w:eastAsia="Times New Roman" w:hAnsi="Times New Roman" w:cs="Times New Roman"/>
                <w:bCs/>
                <w:color w:val="333333"/>
                <w:kern w:val="36"/>
                <w:sz w:val="24"/>
                <w:szCs w:val="24"/>
                <w:lang w:eastAsia="ru-RU"/>
              </w:rPr>
              <w:t xml:space="preserve"> от 29.12.2017 </w:t>
            </w:r>
            <w:r w:rsidRPr="00CA5646">
              <w:rPr>
                <w:rFonts w:ascii="Times New Roman" w:eastAsia="Times New Roman" w:hAnsi="Times New Roman" w:cs="Times New Roman"/>
                <w:bCs/>
                <w:color w:val="333333"/>
                <w:kern w:val="36"/>
                <w:sz w:val="24"/>
                <w:szCs w:val="24"/>
                <w:lang w:eastAsia="ru-RU"/>
              </w:rPr>
              <w:t>№</w:t>
            </w:r>
            <w:r w:rsidRPr="002038AF">
              <w:rPr>
                <w:rFonts w:ascii="Times New Roman" w:eastAsia="Times New Roman" w:hAnsi="Times New Roman" w:cs="Times New Roman"/>
                <w:bCs/>
                <w:color w:val="333333"/>
                <w:kern w:val="36"/>
                <w:sz w:val="24"/>
                <w:szCs w:val="24"/>
                <w:lang w:eastAsia="ru-RU"/>
              </w:rPr>
              <w:t xml:space="preserve"> 470-ФЗ </w:t>
            </w:r>
          </w:p>
          <w:p w:rsidR="00CA5646" w:rsidRPr="00CA5646" w:rsidRDefault="00CA5646" w:rsidP="00CA5646">
            <w:pPr>
              <w:shd w:val="clear" w:color="auto" w:fill="FFFFFF"/>
              <w:spacing w:after="144" w:line="242" w:lineRule="atLeast"/>
              <w:jc w:val="both"/>
              <w:outlineLvl w:val="0"/>
              <w:rPr>
                <w:rFonts w:ascii="Times New Roman" w:eastAsia="Times New Roman" w:hAnsi="Times New Roman" w:cs="Times New Roman"/>
                <w:b/>
                <w:bCs/>
                <w:color w:val="333333"/>
                <w:kern w:val="36"/>
                <w:sz w:val="24"/>
                <w:szCs w:val="24"/>
                <w:lang w:eastAsia="ru-RU"/>
              </w:rPr>
            </w:pPr>
            <w:r w:rsidRPr="00CA5646">
              <w:rPr>
                <w:rFonts w:ascii="Times New Roman" w:eastAsia="Times New Roman" w:hAnsi="Times New Roman" w:cs="Times New Roman"/>
                <w:b/>
                <w:bCs/>
                <w:color w:val="333333"/>
                <w:kern w:val="36"/>
                <w:sz w:val="24"/>
                <w:szCs w:val="24"/>
                <w:lang w:eastAsia="ru-RU"/>
              </w:rPr>
              <w:t>(вступил в силу 30.03.2018)</w:t>
            </w:r>
          </w:p>
        </w:tc>
        <w:tc>
          <w:tcPr>
            <w:tcW w:w="6379"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НФО получили право раскрывать клиенты причины принятия решения об отказе в совершении операции в соответствии с п.11 ст. 7 Федерального закона № 115-ФЗ;</w:t>
            </w:r>
          </w:p>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xml:space="preserve"> - законодательное закрепление механизма досудебной реабилитации клиентов финансовых организаций, в отношении которых было принято решение об отказе от проведения операции или об отказе от заключения договора банковского счета (вклада).</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Pr>
                <w:rFonts w:ascii="Times New Roman" w:hAnsi="Times New Roman" w:cs="Times New Roman"/>
                <w:sz w:val="24"/>
                <w:szCs w:val="24"/>
              </w:rPr>
              <w:t>Д</w:t>
            </w:r>
            <w:r w:rsidRPr="00CA5646">
              <w:rPr>
                <w:rFonts w:ascii="Times New Roman" w:hAnsi="Times New Roman" w:cs="Times New Roman"/>
                <w:sz w:val="24"/>
                <w:szCs w:val="24"/>
              </w:rPr>
              <w:t>а</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2.</w:t>
            </w:r>
          </w:p>
        </w:tc>
        <w:tc>
          <w:tcPr>
            <w:tcW w:w="4961" w:type="dxa"/>
          </w:tcPr>
          <w:p w:rsidR="00CA5646" w:rsidRPr="00CA5646" w:rsidRDefault="00CA5646" w:rsidP="00CA5646">
            <w:pPr>
              <w:jc w:val="both"/>
              <w:rPr>
                <w:rFonts w:ascii="Times New Roman" w:eastAsia="Times New Roman" w:hAnsi="Times New Roman" w:cs="Times New Roman"/>
                <w:sz w:val="24"/>
                <w:szCs w:val="24"/>
                <w:lang w:eastAsia="ru-RU"/>
              </w:rPr>
            </w:pPr>
            <w:r w:rsidRPr="00973DDA">
              <w:rPr>
                <w:rFonts w:ascii="Times New Roman" w:eastAsia="Times New Roman" w:hAnsi="Times New Roman" w:cs="Times New Roman"/>
                <w:sz w:val="24"/>
                <w:szCs w:val="24"/>
                <w:lang w:eastAsia="ru-RU"/>
              </w:rPr>
              <w:t xml:space="preserve">Указание Банка России от 25.12.2017 </w:t>
            </w:r>
            <w:r>
              <w:rPr>
                <w:rFonts w:ascii="Times New Roman" w:eastAsia="Times New Roman" w:hAnsi="Times New Roman" w:cs="Times New Roman"/>
                <w:sz w:val="24"/>
                <w:szCs w:val="24"/>
                <w:lang w:eastAsia="ru-RU"/>
              </w:rPr>
              <w:t xml:space="preserve">           </w:t>
            </w:r>
            <w:r w:rsidRPr="00CA5646">
              <w:rPr>
                <w:rFonts w:ascii="Times New Roman" w:eastAsia="Times New Roman" w:hAnsi="Times New Roman" w:cs="Times New Roman"/>
                <w:sz w:val="24"/>
                <w:szCs w:val="24"/>
                <w:lang w:eastAsia="ru-RU"/>
              </w:rPr>
              <w:t>№</w:t>
            </w:r>
            <w:r w:rsidRPr="00973DDA">
              <w:rPr>
                <w:rFonts w:ascii="Times New Roman" w:eastAsia="Times New Roman" w:hAnsi="Times New Roman" w:cs="Times New Roman"/>
                <w:sz w:val="24"/>
                <w:szCs w:val="24"/>
                <w:lang w:eastAsia="ru-RU"/>
              </w:rPr>
              <w:t xml:space="preserve"> 4662-У</w:t>
            </w:r>
            <w:r w:rsidRPr="00CA5646">
              <w:rPr>
                <w:rFonts w:ascii="Times New Roman" w:eastAsia="Times New Roman" w:hAnsi="Times New Roman" w:cs="Times New Roman"/>
                <w:sz w:val="24"/>
                <w:szCs w:val="24"/>
                <w:lang w:eastAsia="ru-RU"/>
              </w:rPr>
              <w:t xml:space="preserve"> «</w:t>
            </w:r>
            <w:r w:rsidRPr="00973DDA">
              <w:rPr>
                <w:rFonts w:ascii="Times New Roman" w:eastAsia="Times New Roman" w:hAnsi="Times New Roman" w:cs="Times New Roman"/>
                <w:sz w:val="24"/>
                <w:szCs w:val="24"/>
                <w:lang w:eastAsia="ru-RU"/>
              </w:rPr>
              <w:t xml:space="preserve">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негосударственного пенсионного фонда), специальных должностных лиц, ответственных за реализацию правил внутреннего контроля в целях противодействия легализации (отмыванию) </w:t>
            </w:r>
            <w:r w:rsidRPr="00973DDA">
              <w:rPr>
                <w:rFonts w:ascii="Times New Roman" w:eastAsia="Times New Roman" w:hAnsi="Times New Roman" w:cs="Times New Roman"/>
                <w:sz w:val="24"/>
                <w:szCs w:val="24"/>
                <w:lang w:eastAsia="ru-RU"/>
              </w:rPr>
              <w:lastRenderedPageBreak/>
              <w:t>доходов, полученных преступным путем, и финансированию терроризма кредитной организации, негосударственного пенсионного фонда, страховой организации, управляющей компании инвестиционных фондов, паевых инвестиционных фондов и негосударственных пенсионных фондов, микрофинансовой компании, сотрудника службы внутреннего контроля управляющей компании инвестиционных фондов, паевых инвестиционных фондов и негосударственных пенсионных фондов, а также о порядке оценки Банком России соответствия указанных лиц (за исключением контролера негосударственного пенсионного фонда) квалификационным требованиям и требованиям к деловой репутации</w:t>
            </w:r>
            <w:r w:rsidRPr="00CA5646">
              <w:rPr>
                <w:rFonts w:ascii="Times New Roman" w:eastAsia="Times New Roman" w:hAnsi="Times New Roman" w:cs="Times New Roman"/>
                <w:sz w:val="24"/>
                <w:szCs w:val="24"/>
                <w:lang w:eastAsia="ru-RU"/>
              </w:rPr>
              <w:t>»</w:t>
            </w:r>
          </w:p>
          <w:p w:rsidR="00CA5646" w:rsidRPr="00973DDA" w:rsidRDefault="00CA5646" w:rsidP="00CA5646">
            <w:pPr>
              <w:jc w:val="both"/>
              <w:rPr>
                <w:rFonts w:ascii="Times New Roman" w:eastAsia="Times New Roman" w:hAnsi="Times New Roman" w:cs="Times New Roman"/>
                <w:sz w:val="24"/>
                <w:szCs w:val="24"/>
                <w:lang w:eastAsia="ru-RU"/>
              </w:rPr>
            </w:pPr>
          </w:p>
          <w:p w:rsidR="00CA5646" w:rsidRDefault="00CA5646" w:rsidP="00CA5646">
            <w:pPr>
              <w:shd w:val="clear" w:color="auto" w:fill="FFFFFF"/>
              <w:spacing w:after="144" w:line="242" w:lineRule="atLeast"/>
              <w:jc w:val="both"/>
              <w:outlineLvl w:val="0"/>
              <w:rPr>
                <w:rFonts w:ascii="Times New Roman" w:eastAsia="Times New Roman" w:hAnsi="Times New Roman" w:cs="Times New Roman"/>
                <w:b/>
                <w:bCs/>
                <w:color w:val="333333"/>
                <w:kern w:val="36"/>
                <w:sz w:val="24"/>
                <w:szCs w:val="24"/>
                <w:lang w:eastAsia="ru-RU"/>
              </w:rPr>
            </w:pPr>
            <w:r w:rsidRPr="00CA5646">
              <w:rPr>
                <w:rFonts w:ascii="Times New Roman" w:eastAsia="Times New Roman" w:hAnsi="Times New Roman" w:cs="Times New Roman"/>
                <w:b/>
                <w:bCs/>
                <w:color w:val="333333"/>
                <w:kern w:val="36"/>
                <w:sz w:val="24"/>
                <w:szCs w:val="24"/>
                <w:lang w:eastAsia="ru-RU"/>
              </w:rPr>
              <w:t>(вступило в силу 30.03.2018)</w:t>
            </w:r>
          </w:p>
          <w:p w:rsidR="00CA5646" w:rsidRPr="00CA5646" w:rsidRDefault="00CA5646" w:rsidP="00CA5646">
            <w:pPr>
              <w:shd w:val="clear" w:color="auto" w:fill="FFFFFF"/>
              <w:spacing w:after="144" w:line="242" w:lineRule="atLeast"/>
              <w:jc w:val="both"/>
              <w:outlineLvl w:val="0"/>
              <w:rPr>
                <w:rFonts w:ascii="Times New Roman" w:eastAsia="Times New Roman" w:hAnsi="Times New Roman" w:cs="Times New Roman"/>
                <w:b/>
                <w:bCs/>
                <w:color w:val="333333"/>
                <w:kern w:val="36"/>
                <w:sz w:val="24"/>
                <w:szCs w:val="24"/>
                <w:lang w:eastAsia="ru-RU"/>
              </w:rPr>
            </w:pPr>
          </w:p>
        </w:tc>
        <w:tc>
          <w:tcPr>
            <w:tcW w:w="6379" w:type="dxa"/>
          </w:tcPr>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b/>
                <w:bCs/>
                <w:sz w:val="24"/>
                <w:szCs w:val="24"/>
                <w:lang w:eastAsia="ru-RU"/>
              </w:rPr>
              <w:lastRenderedPageBreak/>
              <w:t xml:space="preserve">Обновляются квалификационные </w:t>
            </w:r>
            <w:r w:rsidRPr="00CA5646">
              <w:rPr>
                <w:rFonts w:ascii="Times New Roman" w:eastAsia="Times New Roman" w:hAnsi="Times New Roman" w:cs="Times New Roman"/>
                <w:sz w:val="24"/>
                <w:szCs w:val="24"/>
                <w:lang w:eastAsia="ru-RU"/>
              </w:rPr>
              <w:t>требования</w:t>
            </w:r>
            <w:r w:rsidRPr="00CA5646">
              <w:rPr>
                <w:rFonts w:ascii="Times New Roman" w:eastAsia="Times New Roman" w:hAnsi="Times New Roman" w:cs="Times New Roman"/>
                <w:b/>
                <w:bCs/>
                <w:sz w:val="24"/>
                <w:szCs w:val="24"/>
                <w:lang w:eastAsia="ru-RU"/>
              </w:rPr>
              <w:t xml:space="preserve"> к отдельным должностным лицам финансовых организаций</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В частности, установлены квалификационные требования к лицам, осуществляющим (в том числе временно) функции:</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руководителя службы управления рисками, руководителя службы внутреннего контроля и руководителя службы внутреннего аудита кредитной организации;</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контролера или лица, ответственного за организацию системы управления рисками НПФ;</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ревизора страховой организации.</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xml:space="preserve">Также установлены порядок направления в Банк России уведомлений о назначении на должность (об освобождении от должности) некоторых лиц, формы уведомлений о назначении на должность (об освобождении от должности) таких лиц и порядок оценки Банком России </w:t>
            </w:r>
            <w:r w:rsidRPr="00CA5646">
              <w:rPr>
                <w:rFonts w:ascii="Times New Roman" w:eastAsia="Times New Roman" w:hAnsi="Times New Roman" w:cs="Times New Roman"/>
                <w:sz w:val="24"/>
                <w:szCs w:val="24"/>
                <w:lang w:eastAsia="ru-RU"/>
              </w:rPr>
              <w:lastRenderedPageBreak/>
              <w:t>соответствия должностных лиц финансовых организаций квалификационным требованиям и требованиям к деловой репутации.</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lastRenderedPageBreak/>
              <w:t>НПФ, страховые организации, УК, микрофинансовые компании</w:t>
            </w:r>
          </w:p>
        </w:tc>
        <w:tc>
          <w:tcPr>
            <w:tcW w:w="2126"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xml:space="preserve">Да, </w:t>
            </w:r>
            <w:r>
              <w:rPr>
                <w:rFonts w:ascii="Times New Roman" w:hAnsi="Times New Roman" w:cs="Times New Roman"/>
                <w:sz w:val="24"/>
                <w:szCs w:val="24"/>
              </w:rPr>
              <w:t>но только</w:t>
            </w:r>
            <w:r w:rsidRPr="00CA5646">
              <w:rPr>
                <w:rFonts w:ascii="Times New Roman" w:hAnsi="Times New Roman" w:cs="Times New Roman"/>
                <w:sz w:val="24"/>
                <w:szCs w:val="24"/>
              </w:rPr>
              <w:t xml:space="preserve"> в ПВК по ПОД/ФТ НПФ, страховой организации, УК, МФК</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xml:space="preserve">3. </w:t>
            </w:r>
          </w:p>
        </w:tc>
        <w:tc>
          <w:tcPr>
            <w:tcW w:w="4961" w:type="dxa"/>
          </w:tcPr>
          <w:p w:rsidR="00CA5646" w:rsidRPr="00CA5646" w:rsidRDefault="00CA5646" w:rsidP="00CA5646">
            <w:pPr>
              <w:pStyle w:val="a4"/>
              <w:ind w:left="360"/>
              <w:jc w:val="both"/>
              <w:rPr>
                <w:rFonts w:ascii="Times New Roman" w:hAnsi="Times New Roman" w:cs="Times New Roman"/>
                <w:sz w:val="24"/>
                <w:szCs w:val="24"/>
              </w:rPr>
            </w:pPr>
            <w:r w:rsidRPr="00CA5646">
              <w:rPr>
                <w:rFonts w:ascii="Times New Roman" w:hAnsi="Times New Roman" w:cs="Times New Roman"/>
                <w:sz w:val="24"/>
                <w:szCs w:val="24"/>
              </w:rPr>
              <w:t>Указание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w:t>
            </w:r>
          </w:p>
          <w:p w:rsidR="00CA5646" w:rsidRPr="00CA5646" w:rsidRDefault="00CA5646" w:rsidP="00CA5646">
            <w:pPr>
              <w:pStyle w:val="a4"/>
              <w:ind w:left="360"/>
              <w:jc w:val="both"/>
              <w:rPr>
                <w:rFonts w:ascii="Times New Roman" w:hAnsi="Times New Roman" w:cs="Times New Roman"/>
                <w:sz w:val="24"/>
                <w:szCs w:val="24"/>
              </w:rPr>
            </w:pPr>
          </w:p>
          <w:p w:rsidR="00CA5646" w:rsidRPr="00CA5646" w:rsidRDefault="00CA5646" w:rsidP="00CA5646">
            <w:pPr>
              <w:pStyle w:val="a4"/>
              <w:ind w:left="360"/>
              <w:jc w:val="both"/>
              <w:rPr>
                <w:rFonts w:ascii="Times New Roman" w:eastAsia="Times New Roman" w:hAnsi="Times New Roman" w:cs="Times New Roman"/>
                <w:b/>
                <w:bCs/>
                <w:color w:val="333333"/>
                <w:kern w:val="36"/>
                <w:sz w:val="24"/>
                <w:szCs w:val="24"/>
                <w:lang w:eastAsia="ru-RU"/>
              </w:rPr>
            </w:pPr>
            <w:r w:rsidRPr="00CA5646">
              <w:rPr>
                <w:rFonts w:ascii="Times New Roman" w:eastAsia="Times New Roman" w:hAnsi="Times New Roman" w:cs="Times New Roman"/>
                <w:b/>
                <w:bCs/>
                <w:color w:val="333333"/>
                <w:kern w:val="36"/>
                <w:sz w:val="24"/>
                <w:szCs w:val="24"/>
                <w:lang w:eastAsia="ru-RU"/>
              </w:rPr>
              <w:t>(вступило в силу 21.04.2018)</w:t>
            </w:r>
          </w:p>
          <w:p w:rsidR="00CA5646" w:rsidRPr="00CA5646" w:rsidRDefault="00CA5646" w:rsidP="00CA5646">
            <w:pPr>
              <w:pStyle w:val="a4"/>
              <w:ind w:left="360"/>
              <w:jc w:val="both"/>
              <w:rPr>
                <w:rFonts w:ascii="Times New Roman" w:hAnsi="Times New Roman" w:cs="Times New Roman"/>
                <w:b/>
                <w:sz w:val="24"/>
                <w:szCs w:val="24"/>
              </w:rPr>
            </w:pPr>
          </w:p>
        </w:tc>
        <w:tc>
          <w:tcPr>
            <w:tcW w:w="6379" w:type="dxa"/>
          </w:tcPr>
          <w:p w:rsidR="00CA5646" w:rsidRPr="002038AF"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lastRenderedPageBreak/>
              <w:t xml:space="preserve">Определены </w:t>
            </w:r>
            <w:r w:rsidRPr="002038AF">
              <w:rPr>
                <w:rFonts w:ascii="Times New Roman" w:eastAsia="Times New Roman" w:hAnsi="Times New Roman" w:cs="Times New Roman"/>
                <w:sz w:val="24"/>
                <w:szCs w:val="24"/>
                <w:lang w:eastAsia="ru-RU"/>
              </w:rPr>
              <w:t xml:space="preserve">правила работы межведомственной комиссии при ЦБ. В комиссию можно пожаловаться, если </w:t>
            </w:r>
            <w:r w:rsidRPr="00CA5646">
              <w:rPr>
                <w:rFonts w:ascii="Times New Roman" w:eastAsia="Times New Roman" w:hAnsi="Times New Roman" w:cs="Times New Roman"/>
                <w:sz w:val="24"/>
                <w:szCs w:val="24"/>
                <w:lang w:eastAsia="ru-RU"/>
              </w:rPr>
              <w:t xml:space="preserve">НФО </w:t>
            </w:r>
            <w:r w:rsidRPr="002038AF">
              <w:rPr>
                <w:rFonts w:ascii="Times New Roman" w:eastAsia="Times New Roman" w:hAnsi="Times New Roman" w:cs="Times New Roman"/>
                <w:sz w:val="24"/>
                <w:szCs w:val="24"/>
                <w:lang w:eastAsia="ru-RU"/>
              </w:rPr>
              <w:t xml:space="preserve">не </w:t>
            </w:r>
            <w:r w:rsidRPr="00CA5646">
              <w:rPr>
                <w:rFonts w:ascii="Times New Roman" w:eastAsia="Times New Roman" w:hAnsi="Times New Roman" w:cs="Times New Roman"/>
                <w:sz w:val="24"/>
                <w:szCs w:val="24"/>
                <w:lang w:eastAsia="ru-RU"/>
              </w:rPr>
              <w:t>убедили</w:t>
            </w:r>
            <w:r w:rsidRPr="002038AF">
              <w:rPr>
                <w:rFonts w:ascii="Times New Roman" w:eastAsia="Times New Roman" w:hAnsi="Times New Roman" w:cs="Times New Roman"/>
                <w:sz w:val="24"/>
                <w:szCs w:val="24"/>
                <w:lang w:eastAsia="ru-RU"/>
              </w:rPr>
              <w:t xml:space="preserve"> довод</w:t>
            </w:r>
            <w:r w:rsidRPr="00CA5646">
              <w:rPr>
                <w:rFonts w:ascii="Times New Roman" w:eastAsia="Times New Roman" w:hAnsi="Times New Roman" w:cs="Times New Roman"/>
                <w:sz w:val="24"/>
                <w:szCs w:val="24"/>
                <w:lang w:eastAsia="ru-RU"/>
              </w:rPr>
              <w:t>ы</w:t>
            </w:r>
            <w:r w:rsidRPr="002038AF">
              <w:rPr>
                <w:rFonts w:ascii="Times New Roman" w:eastAsia="Times New Roman" w:hAnsi="Times New Roman" w:cs="Times New Roman"/>
                <w:sz w:val="24"/>
                <w:szCs w:val="24"/>
                <w:lang w:eastAsia="ru-RU"/>
              </w:rPr>
              <w:t xml:space="preserve"> </w:t>
            </w:r>
            <w:r w:rsidRPr="00CA5646">
              <w:rPr>
                <w:rFonts w:ascii="Times New Roman" w:eastAsia="Times New Roman" w:hAnsi="Times New Roman" w:cs="Times New Roman"/>
                <w:sz w:val="24"/>
                <w:szCs w:val="24"/>
                <w:lang w:eastAsia="ru-RU"/>
              </w:rPr>
              <w:t xml:space="preserve">клиента </w:t>
            </w:r>
            <w:r w:rsidRPr="002038AF">
              <w:rPr>
                <w:rFonts w:ascii="Times New Roman" w:eastAsia="Times New Roman" w:hAnsi="Times New Roman" w:cs="Times New Roman"/>
                <w:sz w:val="24"/>
                <w:szCs w:val="24"/>
                <w:lang w:eastAsia="ru-RU"/>
              </w:rPr>
              <w:t>и</w:t>
            </w:r>
            <w:r w:rsidRPr="00CA5646">
              <w:rPr>
                <w:rFonts w:ascii="Times New Roman" w:eastAsia="Times New Roman" w:hAnsi="Times New Roman" w:cs="Times New Roman"/>
                <w:sz w:val="24"/>
                <w:szCs w:val="24"/>
                <w:lang w:eastAsia="ru-RU"/>
              </w:rPr>
              <w:t xml:space="preserve"> организация</w:t>
            </w:r>
            <w:r w:rsidRPr="002038AF">
              <w:rPr>
                <w:rFonts w:ascii="Times New Roman" w:eastAsia="Times New Roman" w:hAnsi="Times New Roman" w:cs="Times New Roman"/>
                <w:sz w:val="24"/>
                <w:szCs w:val="24"/>
                <w:lang w:eastAsia="ru-RU"/>
              </w:rPr>
              <w:t xml:space="preserve"> не </w:t>
            </w:r>
            <w:r w:rsidRPr="00CA5646">
              <w:rPr>
                <w:rFonts w:ascii="Times New Roman" w:eastAsia="Times New Roman" w:hAnsi="Times New Roman" w:cs="Times New Roman"/>
                <w:sz w:val="24"/>
                <w:szCs w:val="24"/>
                <w:lang w:eastAsia="ru-RU"/>
              </w:rPr>
              <w:t xml:space="preserve">усмотрела оснований для отмены решения об отказе в проведении операции </w:t>
            </w:r>
            <w:r w:rsidRPr="00CA5646">
              <w:rPr>
                <w:rFonts w:ascii="Times New Roman" w:hAnsi="Times New Roman" w:cs="Times New Roman"/>
                <w:sz w:val="24"/>
                <w:szCs w:val="24"/>
              </w:rPr>
              <w:t>в соответствии с п.11 ст. 7 Федерального закона № 115-ФЗ</w:t>
            </w:r>
            <w:r w:rsidRPr="002038AF">
              <w:rPr>
                <w:rFonts w:ascii="Times New Roman" w:eastAsia="Times New Roman" w:hAnsi="Times New Roman" w:cs="Times New Roman"/>
                <w:sz w:val="24"/>
                <w:szCs w:val="24"/>
                <w:lang w:eastAsia="ru-RU"/>
              </w:rPr>
              <w:t xml:space="preserve">. </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Pr>
                <w:rFonts w:ascii="Times New Roman" w:hAnsi="Times New Roman" w:cs="Times New Roman"/>
                <w:sz w:val="24"/>
                <w:szCs w:val="24"/>
              </w:rPr>
              <w:t>Н</w:t>
            </w:r>
            <w:r w:rsidRPr="00CA5646">
              <w:rPr>
                <w:rFonts w:ascii="Times New Roman" w:hAnsi="Times New Roman" w:cs="Times New Roman"/>
                <w:sz w:val="24"/>
                <w:szCs w:val="24"/>
              </w:rPr>
              <w:t>ет</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4.</w:t>
            </w:r>
          </w:p>
        </w:tc>
        <w:tc>
          <w:tcPr>
            <w:tcW w:w="4961" w:type="dxa"/>
          </w:tcPr>
          <w:p w:rsidR="00CA5646" w:rsidRPr="00CA5646" w:rsidRDefault="00CA5646" w:rsidP="00CA5646">
            <w:pPr>
              <w:pStyle w:val="1"/>
              <w:shd w:val="clear" w:color="auto" w:fill="FFFFFF"/>
              <w:spacing w:before="0" w:beforeAutospacing="0" w:after="144" w:afterAutospacing="0" w:line="242" w:lineRule="atLeast"/>
              <w:jc w:val="both"/>
              <w:outlineLvl w:val="0"/>
              <w:rPr>
                <w:b w:val="0"/>
                <w:color w:val="333333"/>
                <w:sz w:val="24"/>
                <w:szCs w:val="24"/>
              </w:rPr>
            </w:pPr>
            <w:r w:rsidRPr="00CA5646">
              <w:rPr>
                <w:b w:val="0"/>
                <w:color w:val="333333"/>
                <w:sz w:val="24"/>
                <w:szCs w:val="24"/>
              </w:rPr>
              <w:t>Федеральный закон «О внесении изменения в статью 5 Федерального закона "О противодействии легализации (отмыванию) доходов, полученных преступным путем, и финансированию терроризма» от 18.04.2018 № 69-ФЗ</w:t>
            </w:r>
          </w:p>
          <w:p w:rsidR="00CA5646" w:rsidRDefault="00CA5646" w:rsidP="00CA5646">
            <w:pPr>
              <w:pStyle w:val="1"/>
              <w:shd w:val="clear" w:color="auto" w:fill="FFFFFF"/>
              <w:spacing w:before="0" w:beforeAutospacing="0" w:after="144" w:afterAutospacing="0" w:line="242" w:lineRule="atLeast"/>
              <w:jc w:val="both"/>
              <w:outlineLvl w:val="0"/>
              <w:rPr>
                <w:bCs w:val="0"/>
                <w:color w:val="333333"/>
                <w:sz w:val="24"/>
                <w:szCs w:val="24"/>
              </w:rPr>
            </w:pPr>
            <w:r w:rsidRPr="00CA5646">
              <w:rPr>
                <w:bCs w:val="0"/>
                <w:color w:val="333333"/>
                <w:sz w:val="24"/>
                <w:szCs w:val="24"/>
              </w:rPr>
              <w:t>(вступил в силу 18.04.2018)</w:t>
            </w:r>
          </w:p>
          <w:p w:rsidR="00CA5646" w:rsidRPr="00CA5646" w:rsidRDefault="00CA5646" w:rsidP="00CA5646">
            <w:pPr>
              <w:pStyle w:val="1"/>
              <w:shd w:val="clear" w:color="auto" w:fill="FFFFFF"/>
              <w:spacing w:before="0" w:beforeAutospacing="0" w:after="144" w:afterAutospacing="0" w:line="242" w:lineRule="atLeast"/>
              <w:jc w:val="both"/>
              <w:outlineLvl w:val="0"/>
              <w:rPr>
                <w:b w:val="0"/>
                <w:color w:val="333333"/>
                <w:sz w:val="24"/>
                <w:szCs w:val="24"/>
              </w:rPr>
            </w:pPr>
          </w:p>
        </w:tc>
        <w:tc>
          <w:tcPr>
            <w:tcW w:w="6379"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xml:space="preserve">В статью 5 Федерального закона № 115-ФЗ внесено уточнение, что НПФ являются субъектами статьи 5 в части осуществления деятельности по негосударственному пенсионному обеспечению </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НПФ</w:t>
            </w:r>
          </w:p>
        </w:tc>
        <w:tc>
          <w:tcPr>
            <w:tcW w:w="2126"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 xml:space="preserve">Да, </w:t>
            </w:r>
            <w:r>
              <w:rPr>
                <w:rFonts w:ascii="Times New Roman" w:hAnsi="Times New Roman" w:cs="Times New Roman"/>
                <w:sz w:val="24"/>
                <w:szCs w:val="24"/>
              </w:rPr>
              <w:t xml:space="preserve">но </w:t>
            </w:r>
            <w:r w:rsidRPr="00CA5646">
              <w:rPr>
                <w:rFonts w:ascii="Times New Roman" w:hAnsi="Times New Roman" w:cs="Times New Roman"/>
                <w:sz w:val="24"/>
                <w:szCs w:val="24"/>
              </w:rPr>
              <w:t>только в ПВК по ПОД/ФТ НПФ</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5.</w:t>
            </w:r>
          </w:p>
        </w:tc>
        <w:tc>
          <w:tcPr>
            <w:tcW w:w="4961" w:type="dxa"/>
          </w:tcPr>
          <w:p w:rsidR="00CA5646" w:rsidRPr="00CA5646" w:rsidRDefault="00CA5646" w:rsidP="00CA5646">
            <w:pPr>
              <w:spacing w:after="144" w:line="242" w:lineRule="atLeast"/>
              <w:jc w:val="both"/>
              <w:outlineLvl w:val="0"/>
              <w:rPr>
                <w:rFonts w:ascii="Times New Roman" w:eastAsia="Times New Roman" w:hAnsi="Times New Roman" w:cs="Times New Roman"/>
                <w:bCs/>
                <w:color w:val="333333"/>
                <w:kern w:val="36"/>
                <w:sz w:val="24"/>
                <w:szCs w:val="24"/>
                <w:lang w:eastAsia="ru-RU"/>
              </w:rPr>
            </w:pPr>
            <w:r w:rsidRPr="00973DDA">
              <w:rPr>
                <w:rFonts w:ascii="Times New Roman" w:eastAsia="Times New Roman" w:hAnsi="Times New Roman" w:cs="Times New Roman"/>
                <w:bCs/>
                <w:color w:val="333333"/>
                <w:kern w:val="36"/>
                <w:sz w:val="24"/>
                <w:szCs w:val="24"/>
                <w:lang w:eastAsia="ru-RU"/>
              </w:rPr>
              <w:t xml:space="preserve">Федеральный закон </w:t>
            </w:r>
            <w:r w:rsidRPr="00CA5646">
              <w:rPr>
                <w:rFonts w:ascii="Times New Roman" w:eastAsia="Times New Roman" w:hAnsi="Times New Roman" w:cs="Times New Roman"/>
                <w:bCs/>
                <w:color w:val="333333"/>
                <w:kern w:val="36"/>
                <w:sz w:val="24"/>
                <w:szCs w:val="24"/>
                <w:lang w:eastAsia="ru-RU"/>
              </w:rPr>
              <w:t>«</w:t>
            </w:r>
            <w:r w:rsidRPr="00973DDA">
              <w:rPr>
                <w:rFonts w:ascii="Times New Roman" w:eastAsia="Times New Roman" w:hAnsi="Times New Roman" w:cs="Times New Roman"/>
                <w:bCs/>
                <w:color w:val="333333"/>
                <w:kern w:val="36"/>
                <w:sz w:val="24"/>
                <w:szCs w:val="24"/>
                <w:lang w:eastAsia="ru-RU"/>
              </w:rPr>
              <w:t xml:space="preserve">О внесении изменений в Федеральный закон </w:t>
            </w:r>
            <w:r w:rsidRPr="00CA5646">
              <w:rPr>
                <w:rFonts w:ascii="Times New Roman" w:eastAsia="Times New Roman" w:hAnsi="Times New Roman" w:cs="Times New Roman"/>
                <w:bCs/>
                <w:color w:val="333333"/>
                <w:kern w:val="36"/>
                <w:sz w:val="24"/>
                <w:szCs w:val="24"/>
                <w:lang w:eastAsia="ru-RU"/>
              </w:rPr>
              <w:t>«</w:t>
            </w:r>
            <w:r w:rsidRPr="00973DDA">
              <w:rPr>
                <w:rFonts w:ascii="Times New Roman" w:eastAsia="Times New Roman" w:hAnsi="Times New Roman" w:cs="Times New Roman"/>
                <w:bCs/>
                <w:color w:val="333333"/>
                <w:kern w:val="36"/>
                <w:sz w:val="24"/>
                <w:szCs w:val="24"/>
                <w:lang w:eastAsia="ru-RU"/>
              </w:rPr>
              <w:t>О противодействии легализации (отмыванию) доходов, полученных преступным путем, и финансированию терроризма</w:t>
            </w:r>
            <w:r w:rsidRPr="00CA5646">
              <w:rPr>
                <w:rFonts w:ascii="Times New Roman" w:eastAsia="Times New Roman" w:hAnsi="Times New Roman" w:cs="Times New Roman"/>
                <w:bCs/>
                <w:color w:val="333333"/>
                <w:kern w:val="36"/>
                <w:sz w:val="24"/>
                <w:szCs w:val="24"/>
                <w:lang w:eastAsia="ru-RU"/>
              </w:rPr>
              <w:t>»</w:t>
            </w:r>
            <w:r w:rsidRPr="00973DDA">
              <w:rPr>
                <w:rFonts w:ascii="Times New Roman" w:eastAsia="Times New Roman" w:hAnsi="Times New Roman" w:cs="Times New Roman"/>
                <w:bCs/>
                <w:color w:val="333333"/>
                <w:kern w:val="36"/>
                <w:sz w:val="24"/>
                <w:szCs w:val="24"/>
                <w:lang w:eastAsia="ru-RU"/>
              </w:rPr>
              <w:t xml:space="preserve"> и статью 13 Федерального закона "Об аудиторской деятельности</w:t>
            </w:r>
            <w:r w:rsidRPr="00CA5646">
              <w:rPr>
                <w:rFonts w:ascii="Times New Roman" w:eastAsia="Times New Roman" w:hAnsi="Times New Roman" w:cs="Times New Roman"/>
                <w:bCs/>
                <w:color w:val="333333"/>
                <w:kern w:val="36"/>
                <w:sz w:val="24"/>
                <w:szCs w:val="24"/>
                <w:lang w:eastAsia="ru-RU"/>
              </w:rPr>
              <w:t>»</w:t>
            </w:r>
            <w:r w:rsidRPr="00973DDA">
              <w:rPr>
                <w:rFonts w:ascii="Times New Roman" w:eastAsia="Times New Roman" w:hAnsi="Times New Roman" w:cs="Times New Roman"/>
                <w:bCs/>
                <w:color w:val="333333"/>
                <w:kern w:val="36"/>
                <w:sz w:val="24"/>
                <w:szCs w:val="24"/>
                <w:lang w:eastAsia="ru-RU"/>
              </w:rPr>
              <w:t xml:space="preserve"> от 23.04.2018 </w:t>
            </w:r>
            <w:r w:rsidRPr="00CA5646">
              <w:rPr>
                <w:rFonts w:ascii="Times New Roman" w:eastAsia="Times New Roman" w:hAnsi="Times New Roman" w:cs="Times New Roman"/>
                <w:bCs/>
                <w:color w:val="333333"/>
                <w:kern w:val="36"/>
                <w:sz w:val="24"/>
                <w:szCs w:val="24"/>
                <w:lang w:eastAsia="ru-RU"/>
              </w:rPr>
              <w:t>№</w:t>
            </w:r>
            <w:r w:rsidRPr="00973DDA">
              <w:rPr>
                <w:rFonts w:ascii="Times New Roman" w:eastAsia="Times New Roman" w:hAnsi="Times New Roman" w:cs="Times New Roman"/>
                <w:bCs/>
                <w:color w:val="333333"/>
                <w:kern w:val="36"/>
                <w:sz w:val="24"/>
                <w:szCs w:val="24"/>
                <w:lang w:eastAsia="ru-RU"/>
              </w:rPr>
              <w:t xml:space="preserve"> 112-ФЗ</w:t>
            </w:r>
          </w:p>
          <w:p w:rsidR="00CA5646" w:rsidRDefault="00CA5646" w:rsidP="00CA5646">
            <w:pPr>
              <w:spacing w:after="144" w:line="242" w:lineRule="atLeast"/>
              <w:jc w:val="both"/>
              <w:outlineLvl w:val="0"/>
              <w:rPr>
                <w:rFonts w:ascii="Times New Roman" w:eastAsia="Times New Roman" w:hAnsi="Times New Roman" w:cs="Times New Roman"/>
                <w:b/>
                <w:bCs/>
                <w:color w:val="333333"/>
                <w:kern w:val="36"/>
                <w:sz w:val="24"/>
                <w:szCs w:val="24"/>
                <w:lang w:eastAsia="ru-RU"/>
              </w:rPr>
            </w:pPr>
            <w:r w:rsidRPr="00CA5646">
              <w:rPr>
                <w:rFonts w:ascii="Times New Roman" w:eastAsia="Times New Roman" w:hAnsi="Times New Roman" w:cs="Times New Roman"/>
                <w:b/>
                <w:bCs/>
                <w:color w:val="333333"/>
                <w:kern w:val="36"/>
                <w:sz w:val="24"/>
                <w:szCs w:val="24"/>
                <w:lang w:eastAsia="ru-RU"/>
              </w:rPr>
              <w:t>(вступил в силу 04.05.2018)</w:t>
            </w:r>
          </w:p>
          <w:p w:rsidR="00CA5646" w:rsidRPr="00CA5646" w:rsidRDefault="00CA5646" w:rsidP="00CA5646">
            <w:pPr>
              <w:spacing w:after="144" w:line="242" w:lineRule="atLeast"/>
              <w:jc w:val="both"/>
              <w:outlineLvl w:val="0"/>
              <w:rPr>
                <w:rFonts w:ascii="Times New Roman" w:eastAsia="Times New Roman" w:hAnsi="Times New Roman" w:cs="Times New Roman"/>
                <w:b/>
                <w:bCs/>
                <w:color w:val="333333"/>
                <w:kern w:val="36"/>
                <w:sz w:val="24"/>
                <w:szCs w:val="24"/>
                <w:lang w:eastAsia="ru-RU"/>
              </w:rPr>
            </w:pPr>
          </w:p>
        </w:tc>
        <w:tc>
          <w:tcPr>
            <w:tcW w:w="6379" w:type="dxa"/>
          </w:tcPr>
          <w:p w:rsidR="00CA5646" w:rsidRPr="00CA5646" w:rsidRDefault="00CA5646" w:rsidP="00CA5646">
            <w:pPr>
              <w:spacing w:after="120"/>
              <w:ind w:left="720"/>
              <w:jc w:val="both"/>
              <w:rPr>
                <w:rFonts w:ascii="Times New Roman" w:hAnsi="Times New Roman" w:cs="Times New Roman"/>
                <w:sz w:val="24"/>
                <w:szCs w:val="24"/>
              </w:rPr>
            </w:pPr>
            <w:r w:rsidRPr="00CA5646">
              <w:rPr>
                <w:rFonts w:ascii="Times New Roman" w:hAnsi="Times New Roman" w:cs="Times New Roman"/>
                <w:sz w:val="24"/>
                <w:szCs w:val="24"/>
              </w:rPr>
              <w:t>Статья 3 Федерального закона № 115-ФЗ дополнена понятием «личный кабинет», определены цели использования и пользователи личного кабинета НФО на сайте Росфинмониторинга.</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Да, если в ПВК по ПОД/ФТ есть упоминание «личного кабинета»</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6.</w:t>
            </w:r>
          </w:p>
        </w:tc>
        <w:tc>
          <w:tcPr>
            <w:tcW w:w="4961" w:type="dxa"/>
          </w:tcPr>
          <w:p w:rsidR="00CA5646" w:rsidRPr="00CA5646" w:rsidRDefault="00CA5646" w:rsidP="00CA5646">
            <w:pPr>
              <w:jc w:val="both"/>
              <w:rPr>
                <w:rFonts w:ascii="Times New Roman" w:eastAsia="Times New Roman" w:hAnsi="Times New Roman" w:cs="Times New Roman"/>
                <w:sz w:val="24"/>
                <w:szCs w:val="24"/>
                <w:lang w:eastAsia="ru-RU"/>
              </w:rPr>
            </w:pPr>
            <w:r w:rsidRPr="00973DDA">
              <w:rPr>
                <w:rFonts w:ascii="Times New Roman" w:eastAsia="Times New Roman" w:hAnsi="Times New Roman" w:cs="Times New Roman"/>
                <w:sz w:val="24"/>
                <w:szCs w:val="24"/>
                <w:lang w:eastAsia="ru-RU"/>
              </w:rPr>
              <w:t xml:space="preserve">Указание Банка России от 30.03.2018 </w:t>
            </w:r>
            <w:r w:rsidRPr="00CA5646">
              <w:rPr>
                <w:rFonts w:ascii="Times New Roman" w:eastAsia="Times New Roman" w:hAnsi="Times New Roman" w:cs="Times New Roman"/>
                <w:sz w:val="24"/>
                <w:szCs w:val="24"/>
                <w:lang w:eastAsia="ru-RU"/>
              </w:rPr>
              <w:t xml:space="preserve">           №</w:t>
            </w:r>
            <w:r w:rsidRPr="00973DDA">
              <w:rPr>
                <w:rFonts w:ascii="Times New Roman" w:eastAsia="Times New Roman" w:hAnsi="Times New Roman" w:cs="Times New Roman"/>
                <w:sz w:val="24"/>
                <w:szCs w:val="24"/>
                <w:lang w:eastAsia="ru-RU"/>
              </w:rPr>
              <w:t xml:space="preserve"> 4759-У</w:t>
            </w:r>
            <w:r w:rsidRPr="00CA5646">
              <w:rPr>
                <w:rFonts w:ascii="Times New Roman" w:eastAsia="Times New Roman" w:hAnsi="Times New Roman" w:cs="Times New Roman"/>
                <w:sz w:val="24"/>
                <w:szCs w:val="24"/>
                <w:lang w:eastAsia="ru-RU"/>
              </w:rPr>
              <w:t xml:space="preserve"> «</w:t>
            </w:r>
            <w:r w:rsidRPr="00973DDA">
              <w:rPr>
                <w:rFonts w:ascii="Times New Roman" w:eastAsia="Times New Roman" w:hAnsi="Times New Roman" w:cs="Times New Roman"/>
                <w:sz w:val="24"/>
                <w:szCs w:val="24"/>
                <w:lang w:eastAsia="ru-RU"/>
              </w:rPr>
              <w:t xml:space="preserve">О внесении изменений в Положение Банка </w:t>
            </w:r>
            <w:r w:rsidRPr="00CA5646">
              <w:rPr>
                <w:rFonts w:ascii="Times New Roman" w:eastAsia="Times New Roman" w:hAnsi="Times New Roman" w:cs="Times New Roman"/>
                <w:sz w:val="24"/>
                <w:szCs w:val="24"/>
                <w:lang w:eastAsia="ru-RU"/>
              </w:rPr>
              <w:t>России от 15 декабря 2014 года № 445-П «</w:t>
            </w:r>
            <w:r w:rsidRPr="00973DDA">
              <w:rPr>
                <w:rFonts w:ascii="Times New Roman" w:eastAsia="Times New Roman" w:hAnsi="Times New Roman" w:cs="Times New Roman"/>
                <w:sz w:val="24"/>
                <w:szCs w:val="24"/>
                <w:lang w:eastAsia="ru-RU"/>
              </w:rPr>
              <w:t>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w:t>
            </w:r>
            <w:r w:rsidRPr="00CA5646">
              <w:rPr>
                <w:rFonts w:ascii="Times New Roman" w:eastAsia="Times New Roman" w:hAnsi="Times New Roman" w:cs="Times New Roman"/>
                <w:sz w:val="24"/>
                <w:szCs w:val="24"/>
                <w:lang w:eastAsia="ru-RU"/>
              </w:rPr>
              <w:t>»</w:t>
            </w:r>
          </w:p>
          <w:p w:rsidR="00CA5646" w:rsidRPr="00CA5646" w:rsidRDefault="00CA5646" w:rsidP="00CA5646">
            <w:pPr>
              <w:jc w:val="both"/>
              <w:rPr>
                <w:rFonts w:ascii="Times New Roman" w:eastAsia="Times New Roman" w:hAnsi="Times New Roman" w:cs="Times New Roman"/>
                <w:sz w:val="24"/>
                <w:szCs w:val="24"/>
                <w:lang w:eastAsia="ru-RU"/>
              </w:rPr>
            </w:pPr>
          </w:p>
          <w:p w:rsidR="00CA5646" w:rsidRDefault="00CA5646" w:rsidP="00CA5646">
            <w:pPr>
              <w:jc w:val="both"/>
              <w:rPr>
                <w:rFonts w:ascii="Times New Roman" w:eastAsia="Times New Roman" w:hAnsi="Times New Roman" w:cs="Times New Roman"/>
                <w:b/>
                <w:bCs/>
                <w:color w:val="333333"/>
                <w:kern w:val="36"/>
                <w:sz w:val="24"/>
                <w:szCs w:val="24"/>
                <w:lang w:eastAsia="ru-RU"/>
              </w:rPr>
            </w:pPr>
            <w:r w:rsidRPr="00CA5646">
              <w:rPr>
                <w:rFonts w:ascii="Times New Roman" w:eastAsia="Times New Roman" w:hAnsi="Times New Roman" w:cs="Times New Roman"/>
                <w:b/>
                <w:bCs/>
                <w:color w:val="333333"/>
                <w:kern w:val="36"/>
                <w:sz w:val="24"/>
                <w:szCs w:val="24"/>
                <w:lang w:eastAsia="ru-RU"/>
              </w:rPr>
              <w:t>(вступило в силу 06.05.2018)</w:t>
            </w:r>
          </w:p>
          <w:p w:rsidR="00CA5646" w:rsidRPr="00973DDA" w:rsidRDefault="00CA5646" w:rsidP="00CA5646">
            <w:pPr>
              <w:jc w:val="both"/>
              <w:rPr>
                <w:rFonts w:ascii="Times New Roman" w:eastAsia="Times New Roman" w:hAnsi="Times New Roman" w:cs="Times New Roman"/>
                <w:b/>
                <w:sz w:val="24"/>
                <w:szCs w:val="24"/>
                <w:lang w:eastAsia="ru-RU"/>
              </w:rPr>
            </w:pPr>
          </w:p>
          <w:p w:rsidR="00CA5646" w:rsidRPr="00CA5646" w:rsidRDefault="00CA5646" w:rsidP="00CA5646">
            <w:pPr>
              <w:jc w:val="both"/>
              <w:rPr>
                <w:rFonts w:ascii="Times New Roman" w:eastAsia="Times New Roman" w:hAnsi="Times New Roman" w:cs="Times New Roman"/>
                <w:color w:val="333333"/>
                <w:sz w:val="24"/>
                <w:szCs w:val="24"/>
                <w:lang w:eastAsia="ru-RU"/>
              </w:rPr>
            </w:pPr>
          </w:p>
        </w:tc>
        <w:tc>
          <w:tcPr>
            <w:tcW w:w="6379" w:type="dxa"/>
          </w:tcPr>
          <w:p w:rsidR="00CA5646" w:rsidRPr="00973DDA"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С</w:t>
            </w:r>
            <w:r w:rsidRPr="00973DDA">
              <w:rPr>
                <w:rFonts w:ascii="Times New Roman" w:eastAsia="Times New Roman" w:hAnsi="Times New Roman" w:cs="Times New Roman"/>
                <w:sz w:val="24"/>
                <w:szCs w:val="24"/>
                <w:lang w:eastAsia="ru-RU"/>
              </w:rPr>
              <w:t xml:space="preserve">огласно </w:t>
            </w:r>
            <w:r w:rsidRPr="00CA5646">
              <w:rPr>
                <w:rFonts w:ascii="Times New Roman" w:eastAsia="Times New Roman" w:hAnsi="Times New Roman" w:cs="Times New Roman"/>
                <w:sz w:val="24"/>
                <w:szCs w:val="24"/>
                <w:lang w:eastAsia="ru-RU"/>
              </w:rPr>
              <w:t>изменениям</w:t>
            </w:r>
            <w:r w:rsidRPr="00973DDA">
              <w:rPr>
                <w:rFonts w:ascii="Times New Roman" w:eastAsia="Times New Roman" w:hAnsi="Times New Roman" w:cs="Times New Roman"/>
                <w:sz w:val="24"/>
                <w:szCs w:val="24"/>
                <w:lang w:eastAsia="ru-RU"/>
              </w:rPr>
              <w:t xml:space="preserve"> ПВК по ПОД/ФТ включают в себя, в том числе, программу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Установлены требования к содержанию такой программы.</w:t>
            </w:r>
          </w:p>
          <w:p w:rsidR="00CA5646" w:rsidRPr="00CA5646" w:rsidRDefault="00CA5646" w:rsidP="00CA5646">
            <w:pPr>
              <w:spacing w:after="120"/>
              <w:ind w:left="7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Да</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lastRenderedPageBreak/>
              <w:t>7.</w:t>
            </w:r>
          </w:p>
        </w:tc>
        <w:tc>
          <w:tcPr>
            <w:tcW w:w="4961" w:type="dxa"/>
          </w:tcPr>
          <w:p w:rsidR="00CA5646" w:rsidRPr="00CA5646" w:rsidRDefault="00CA5646" w:rsidP="00CA5646">
            <w:pPr>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Положение Банка России от  30.03.2018                № 639-П «О порядке, сроках и объеме доведения до сведения кредитных организаций и некредитных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(вклада), об отсутствии оснований для расторжения договора банковского счета (вклада) с клиентом»</w:t>
            </w:r>
          </w:p>
          <w:p w:rsidR="00CA5646" w:rsidRPr="00CA5646" w:rsidRDefault="00CA5646" w:rsidP="00CA5646">
            <w:pPr>
              <w:jc w:val="both"/>
              <w:rPr>
                <w:rFonts w:ascii="Times New Roman" w:eastAsia="Times New Roman" w:hAnsi="Times New Roman" w:cs="Times New Roman"/>
                <w:bCs/>
                <w:color w:val="333333"/>
                <w:kern w:val="36"/>
                <w:sz w:val="24"/>
                <w:szCs w:val="24"/>
                <w:lang w:eastAsia="ru-RU"/>
              </w:rPr>
            </w:pPr>
          </w:p>
          <w:p w:rsidR="00CA5646" w:rsidRPr="00973DDA" w:rsidRDefault="00CA5646" w:rsidP="00CA5646">
            <w:pPr>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bCs/>
                <w:color w:val="333333"/>
                <w:kern w:val="36"/>
                <w:sz w:val="24"/>
                <w:szCs w:val="24"/>
                <w:lang w:eastAsia="ru-RU"/>
              </w:rPr>
              <w:t>(</w:t>
            </w:r>
            <w:r w:rsidRPr="00CA5646">
              <w:rPr>
                <w:rFonts w:ascii="Times New Roman" w:eastAsia="Times New Roman" w:hAnsi="Times New Roman" w:cs="Times New Roman"/>
                <w:b/>
                <w:bCs/>
                <w:color w:val="333333"/>
                <w:kern w:val="36"/>
                <w:sz w:val="24"/>
                <w:szCs w:val="24"/>
                <w:lang w:eastAsia="ru-RU"/>
              </w:rPr>
              <w:t>вступило в силу 24.06.2018)</w:t>
            </w:r>
          </w:p>
          <w:p w:rsidR="00CA5646" w:rsidRPr="00CA5646" w:rsidRDefault="00CA5646" w:rsidP="00CA5646">
            <w:pPr>
              <w:jc w:val="both"/>
              <w:rPr>
                <w:rFonts w:ascii="Times New Roman" w:eastAsia="Times New Roman" w:hAnsi="Times New Roman" w:cs="Times New Roman"/>
                <w:sz w:val="24"/>
                <w:szCs w:val="24"/>
                <w:lang w:eastAsia="ru-RU"/>
              </w:rPr>
            </w:pPr>
          </w:p>
        </w:tc>
        <w:tc>
          <w:tcPr>
            <w:tcW w:w="6379" w:type="dxa"/>
          </w:tcPr>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b/>
                <w:bCs/>
                <w:sz w:val="24"/>
                <w:szCs w:val="24"/>
                <w:lang w:eastAsia="ru-RU"/>
              </w:rPr>
              <w:t xml:space="preserve">Обновляется </w:t>
            </w:r>
            <w:r w:rsidRPr="00CA5646">
              <w:rPr>
                <w:rFonts w:ascii="Times New Roman" w:eastAsia="Times New Roman" w:hAnsi="Times New Roman" w:cs="Times New Roman"/>
                <w:sz w:val="24"/>
                <w:szCs w:val="24"/>
                <w:lang w:eastAsia="ru-RU"/>
              </w:rPr>
              <w:t>порядок</w:t>
            </w:r>
            <w:r w:rsidRPr="00CA5646">
              <w:rPr>
                <w:rFonts w:ascii="Times New Roman" w:eastAsia="Times New Roman" w:hAnsi="Times New Roman" w:cs="Times New Roman"/>
                <w:b/>
                <w:bCs/>
                <w:sz w:val="24"/>
                <w:szCs w:val="24"/>
                <w:lang w:eastAsia="ru-RU"/>
              </w:rPr>
              <w:t xml:space="preserve"> доведения до сведения кредитных организаций и некредитных финансовых организаций информации, полученной от Росфинмониторинга</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В частности, уточняется:</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xml:space="preserve">- перечень получаемых от Росфинмониторинга сведений и информации, передаваемой кредитным и </w:t>
            </w:r>
            <w:proofErr w:type="spellStart"/>
            <w:r w:rsidRPr="00CA5646">
              <w:rPr>
                <w:rFonts w:ascii="Times New Roman" w:eastAsia="Times New Roman" w:hAnsi="Times New Roman" w:cs="Times New Roman"/>
                <w:sz w:val="24"/>
                <w:szCs w:val="24"/>
                <w:lang w:eastAsia="ru-RU"/>
              </w:rPr>
              <w:t>некредитным</w:t>
            </w:r>
            <w:proofErr w:type="spellEnd"/>
            <w:r w:rsidRPr="00CA5646">
              <w:rPr>
                <w:rFonts w:ascii="Times New Roman" w:eastAsia="Times New Roman" w:hAnsi="Times New Roman" w:cs="Times New Roman"/>
                <w:sz w:val="24"/>
                <w:szCs w:val="24"/>
                <w:lang w:eastAsia="ru-RU"/>
              </w:rPr>
              <w:t xml:space="preserve"> финансовым организациям;</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требования к содержанию электронного сообщения, формируемого Банком России для направления в организации, и порядку его формирования;</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требования к шифрованию электронного сообщения;</w:t>
            </w:r>
          </w:p>
          <w:p w:rsidR="00CA5646" w:rsidRPr="00CA5646"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 порядок обмена сообщениями и файлами между организациями и территориальными учреждениями Банка России, порядок и сроки их формирования и направления.</w:t>
            </w:r>
          </w:p>
          <w:p w:rsidR="00CA5646" w:rsidRPr="00CA5646" w:rsidRDefault="00CA5646" w:rsidP="00CA5646">
            <w:pPr>
              <w:ind w:firstLine="540"/>
              <w:jc w:val="both"/>
              <w:rPr>
                <w:rFonts w:ascii="Times New Roman" w:eastAsia="Times New Roman" w:hAnsi="Times New Roman" w:cs="Times New Roman"/>
                <w:sz w:val="24"/>
                <w:szCs w:val="24"/>
                <w:lang w:eastAsia="ru-RU"/>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Да</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8.</w:t>
            </w:r>
          </w:p>
        </w:tc>
        <w:tc>
          <w:tcPr>
            <w:tcW w:w="4961" w:type="dxa"/>
          </w:tcPr>
          <w:p w:rsidR="00CA5646" w:rsidRPr="00CA5646" w:rsidRDefault="00CA5646" w:rsidP="00CA5646">
            <w:pPr>
              <w:pStyle w:val="1"/>
              <w:shd w:val="clear" w:color="auto" w:fill="FFFFFF"/>
              <w:spacing w:before="0" w:beforeAutospacing="0" w:after="144" w:afterAutospacing="0" w:line="242" w:lineRule="atLeast"/>
              <w:jc w:val="both"/>
              <w:outlineLvl w:val="0"/>
              <w:rPr>
                <w:b w:val="0"/>
                <w:color w:val="333333"/>
                <w:sz w:val="24"/>
                <w:szCs w:val="24"/>
              </w:rPr>
            </w:pPr>
            <w:r w:rsidRPr="00CA5646">
              <w:rPr>
                <w:b w:val="0"/>
                <w:color w:val="333333"/>
                <w:sz w:val="24"/>
                <w:szCs w:val="24"/>
              </w:rPr>
              <w:t>Федеральный закон «О внесении изменений в отдельные законодательные акты Российской Федерации» от 31.12.2017 № 482-ФЗ </w:t>
            </w:r>
          </w:p>
          <w:p w:rsidR="00CA5646" w:rsidRPr="00CA5646" w:rsidRDefault="00CA5646" w:rsidP="00CA5646">
            <w:pPr>
              <w:pStyle w:val="1"/>
              <w:shd w:val="clear" w:color="auto" w:fill="FFFFFF"/>
              <w:spacing w:before="0" w:beforeAutospacing="0" w:after="144" w:afterAutospacing="0" w:line="242" w:lineRule="atLeast"/>
              <w:jc w:val="both"/>
              <w:outlineLvl w:val="0"/>
              <w:rPr>
                <w:color w:val="333333"/>
                <w:sz w:val="24"/>
                <w:szCs w:val="24"/>
              </w:rPr>
            </w:pPr>
            <w:r w:rsidRPr="00CA5646">
              <w:rPr>
                <w:bCs w:val="0"/>
                <w:color w:val="333333"/>
                <w:sz w:val="24"/>
                <w:szCs w:val="24"/>
              </w:rPr>
              <w:t>(вступил в силу 30.06.2018)</w:t>
            </w:r>
          </w:p>
          <w:p w:rsidR="00CA5646" w:rsidRPr="00CA5646" w:rsidRDefault="00CA5646" w:rsidP="00CA5646">
            <w:pPr>
              <w:spacing w:after="120"/>
              <w:jc w:val="both"/>
              <w:rPr>
                <w:rFonts w:ascii="Times New Roman" w:hAnsi="Times New Roman" w:cs="Times New Roman"/>
                <w:sz w:val="24"/>
                <w:szCs w:val="24"/>
              </w:rPr>
            </w:pPr>
          </w:p>
        </w:tc>
        <w:tc>
          <w:tcPr>
            <w:tcW w:w="6379" w:type="dxa"/>
          </w:tcPr>
          <w:p w:rsidR="00CA5646" w:rsidRPr="00CA5646" w:rsidRDefault="00CA5646" w:rsidP="00CA5646">
            <w:pPr>
              <w:spacing w:after="120"/>
              <w:ind w:left="720"/>
              <w:jc w:val="both"/>
              <w:rPr>
                <w:rFonts w:ascii="Times New Roman" w:hAnsi="Times New Roman" w:cs="Times New Roman"/>
                <w:sz w:val="24"/>
                <w:szCs w:val="24"/>
              </w:rPr>
            </w:pPr>
            <w:r w:rsidRPr="00CA5646">
              <w:rPr>
                <w:rFonts w:ascii="Times New Roman" w:hAnsi="Times New Roman" w:cs="Times New Roman"/>
                <w:sz w:val="24"/>
                <w:szCs w:val="24"/>
              </w:rPr>
              <w:t>В статье 3 Федерального закона № 115-ФЗ уточнен термин «идентификация».</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Pr>
                <w:rFonts w:ascii="Times New Roman" w:hAnsi="Times New Roman" w:cs="Times New Roman"/>
                <w:sz w:val="24"/>
                <w:szCs w:val="24"/>
              </w:rPr>
              <w:t>Д</w:t>
            </w:r>
            <w:r w:rsidRPr="00CA5646">
              <w:rPr>
                <w:rFonts w:ascii="Times New Roman" w:hAnsi="Times New Roman" w:cs="Times New Roman"/>
                <w:sz w:val="24"/>
                <w:szCs w:val="24"/>
              </w:rPr>
              <w:t>а</w:t>
            </w:r>
          </w:p>
        </w:tc>
      </w:tr>
      <w:tr w:rsidR="00CA5646" w:rsidRPr="00CA5646" w:rsidTr="00CA5646">
        <w:tc>
          <w:tcPr>
            <w:tcW w:w="534"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9.</w:t>
            </w:r>
          </w:p>
        </w:tc>
        <w:tc>
          <w:tcPr>
            <w:tcW w:w="4961" w:type="dxa"/>
          </w:tcPr>
          <w:p w:rsidR="00CA5646" w:rsidRPr="00CA5646" w:rsidRDefault="00CA5646" w:rsidP="00CA5646">
            <w:pPr>
              <w:pStyle w:val="1"/>
              <w:shd w:val="clear" w:color="auto" w:fill="FFFFFF"/>
              <w:spacing w:before="0" w:beforeAutospacing="0" w:after="144" w:afterAutospacing="0" w:line="242" w:lineRule="atLeast"/>
              <w:jc w:val="both"/>
              <w:outlineLvl w:val="0"/>
              <w:rPr>
                <w:b w:val="0"/>
                <w:color w:val="333333"/>
                <w:sz w:val="24"/>
                <w:szCs w:val="24"/>
              </w:rPr>
            </w:pPr>
            <w:r w:rsidRPr="00CA5646">
              <w:rPr>
                <w:b w:val="0"/>
                <w:color w:val="333333"/>
                <w:sz w:val="24"/>
                <w:szCs w:val="24"/>
              </w:rPr>
              <w:t>Федеральный закон «О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 от 23.04.2018 № 90-ФЗ</w:t>
            </w:r>
          </w:p>
          <w:p w:rsidR="00CA5646" w:rsidRPr="00CA5646" w:rsidRDefault="00CA5646" w:rsidP="00CA5646">
            <w:pPr>
              <w:pStyle w:val="1"/>
              <w:shd w:val="clear" w:color="auto" w:fill="FFFFFF"/>
              <w:spacing w:before="0" w:beforeAutospacing="0" w:after="144" w:afterAutospacing="0" w:line="242" w:lineRule="atLeast"/>
              <w:jc w:val="both"/>
              <w:outlineLvl w:val="0"/>
              <w:rPr>
                <w:color w:val="333333"/>
                <w:sz w:val="24"/>
                <w:szCs w:val="24"/>
              </w:rPr>
            </w:pPr>
            <w:r w:rsidRPr="00CA5646">
              <w:rPr>
                <w:bCs w:val="0"/>
                <w:color w:val="333333"/>
                <w:sz w:val="24"/>
                <w:szCs w:val="24"/>
              </w:rPr>
              <w:t>(вступил в силу 23.07.2018)</w:t>
            </w:r>
          </w:p>
          <w:p w:rsidR="00CA5646" w:rsidRPr="00CA5646" w:rsidRDefault="00CA5646" w:rsidP="00CA5646">
            <w:pPr>
              <w:spacing w:after="120"/>
              <w:jc w:val="both"/>
              <w:rPr>
                <w:rFonts w:ascii="Times New Roman" w:hAnsi="Times New Roman" w:cs="Times New Roman"/>
                <w:sz w:val="24"/>
                <w:szCs w:val="24"/>
              </w:rPr>
            </w:pPr>
          </w:p>
        </w:tc>
        <w:tc>
          <w:tcPr>
            <w:tcW w:w="6379" w:type="dxa"/>
          </w:tcPr>
          <w:p w:rsidR="00CA5646" w:rsidRPr="00973DDA" w:rsidRDefault="00CA5646" w:rsidP="00CA5646">
            <w:pPr>
              <w:ind w:firstLine="540"/>
              <w:jc w:val="both"/>
              <w:rPr>
                <w:rFonts w:ascii="Times New Roman" w:eastAsia="Times New Roman" w:hAnsi="Times New Roman" w:cs="Times New Roman"/>
                <w:sz w:val="24"/>
                <w:szCs w:val="24"/>
                <w:lang w:eastAsia="ru-RU"/>
              </w:rPr>
            </w:pPr>
            <w:r w:rsidRPr="00CA5646">
              <w:rPr>
                <w:rFonts w:ascii="Times New Roman" w:eastAsia="Times New Roman" w:hAnsi="Times New Roman" w:cs="Times New Roman"/>
                <w:sz w:val="24"/>
                <w:szCs w:val="24"/>
                <w:lang w:eastAsia="ru-RU"/>
              </w:rPr>
              <w:t>У</w:t>
            </w:r>
            <w:r w:rsidRPr="00973DDA">
              <w:rPr>
                <w:rFonts w:ascii="Times New Roman" w:eastAsia="Times New Roman" w:hAnsi="Times New Roman" w:cs="Times New Roman"/>
                <w:sz w:val="24"/>
                <w:szCs w:val="24"/>
                <w:lang w:eastAsia="ru-RU"/>
              </w:rPr>
              <w:t>становление правового механизма противодействия финансированию распространения оружия массового уничтожения, а также приведение национального законодательства в соответствие с международными стандартами в данной сфере.</w:t>
            </w:r>
          </w:p>
          <w:p w:rsidR="00CA5646" w:rsidRPr="00CA5646" w:rsidRDefault="00CA5646" w:rsidP="00CA5646">
            <w:pPr>
              <w:spacing w:after="120"/>
              <w:jc w:val="both"/>
              <w:rPr>
                <w:rFonts w:ascii="Times New Roman" w:hAnsi="Times New Roman" w:cs="Times New Roman"/>
                <w:sz w:val="24"/>
                <w:szCs w:val="24"/>
              </w:rPr>
            </w:pPr>
          </w:p>
        </w:tc>
        <w:tc>
          <w:tcPr>
            <w:tcW w:w="1417" w:type="dxa"/>
          </w:tcPr>
          <w:p w:rsidR="00CA5646" w:rsidRPr="00CA5646" w:rsidRDefault="00CA5646" w:rsidP="00CA5646">
            <w:pPr>
              <w:spacing w:after="120"/>
              <w:jc w:val="both"/>
              <w:rPr>
                <w:rFonts w:ascii="Times New Roman" w:hAnsi="Times New Roman" w:cs="Times New Roman"/>
                <w:sz w:val="24"/>
                <w:szCs w:val="24"/>
              </w:rPr>
            </w:pPr>
            <w:r w:rsidRPr="00CA5646">
              <w:rPr>
                <w:rFonts w:ascii="Times New Roman" w:hAnsi="Times New Roman" w:cs="Times New Roman"/>
                <w:sz w:val="24"/>
                <w:szCs w:val="24"/>
              </w:rPr>
              <w:t>Все НФО</w:t>
            </w:r>
          </w:p>
        </w:tc>
        <w:tc>
          <w:tcPr>
            <w:tcW w:w="2126" w:type="dxa"/>
          </w:tcPr>
          <w:p w:rsidR="00CA5646" w:rsidRPr="00CA5646" w:rsidRDefault="00CA5646" w:rsidP="00CA5646">
            <w:pPr>
              <w:spacing w:after="120"/>
              <w:jc w:val="both"/>
              <w:rPr>
                <w:rFonts w:ascii="Times New Roman" w:hAnsi="Times New Roman" w:cs="Times New Roman"/>
                <w:sz w:val="24"/>
                <w:szCs w:val="24"/>
              </w:rPr>
            </w:pPr>
            <w:r>
              <w:rPr>
                <w:rFonts w:ascii="Times New Roman" w:hAnsi="Times New Roman" w:cs="Times New Roman"/>
                <w:sz w:val="24"/>
                <w:szCs w:val="24"/>
              </w:rPr>
              <w:t>Д</w:t>
            </w:r>
            <w:r w:rsidRPr="00CA5646">
              <w:rPr>
                <w:rFonts w:ascii="Times New Roman" w:hAnsi="Times New Roman" w:cs="Times New Roman"/>
                <w:sz w:val="24"/>
                <w:szCs w:val="24"/>
              </w:rPr>
              <w:t>а</w:t>
            </w:r>
          </w:p>
        </w:tc>
      </w:tr>
    </w:tbl>
    <w:p w:rsidR="002038AF" w:rsidRPr="00CA5646" w:rsidRDefault="002038AF" w:rsidP="00CA5646">
      <w:pPr>
        <w:spacing w:after="120" w:line="240" w:lineRule="auto"/>
        <w:jc w:val="both"/>
        <w:rPr>
          <w:rFonts w:ascii="Times New Roman" w:hAnsi="Times New Roman" w:cs="Times New Roman"/>
          <w:sz w:val="24"/>
          <w:szCs w:val="24"/>
        </w:rPr>
      </w:pPr>
    </w:p>
    <w:p w:rsidR="00CD0117" w:rsidRPr="00CA5646" w:rsidRDefault="00CD0117" w:rsidP="00CA5646">
      <w:pPr>
        <w:jc w:val="both"/>
        <w:rPr>
          <w:rFonts w:ascii="Times New Roman" w:hAnsi="Times New Roman" w:cs="Times New Roman"/>
          <w:sz w:val="24"/>
          <w:szCs w:val="24"/>
        </w:rPr>
      </w:pPr>
    </w:p>
    <w:sectPr w:rsidR="00CD0117" w:rsidRPr="00CA5646" w:rsidSect="00CA5646">
      <w:head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73" w:rsidRDefault="00E03C73" w:rsidP="00CA5646">
      <w:pPr>
        <w:spacing w:after="0" w:line="240" w:lineRule="auto"/>
      </w:pPr>
      <w:r>
        <w:separator/>
      </w:r>
    </w:p>
  </w:endnote>
  <w:endnote w:type="continuationSeparator" w:id="0">
    <w:p w:rsidR="00E03C73" w:rsidRDefault="00E03C73" w:rsidP="00CA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73" w:rsidRDefault="00E03C73" w:rsidP="00CA5646">
      <w:pPr>
        <w:spacing w:after="0" w:line="240" w:lineRule="auto"/>
      </w:pPr>
      <w:r>
        <w:separator/>
      </w:r>
    </w:p>
  </w:footnote>
  <w:footnote w:type="continuationSeparator" w:id="0">
    <w:p w:rsidR="00E03C73" w:rsidRDefault="00E03C73" w:rsidP="00CA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407"/>
      <w:docPartObj>
        <w:docPartGallery w:val="Page Numbers (Top of Page)"/>
        <w:docPartUnique/>
      </w:docPartObj>
    </w:sdtPr>
    <w:sdtEndPr/>
    <w:sdtContent>
      <w:p w:rsidR="00CA5646" w:rsidRDefault="00E03C73">
        <w:pPr>
          <w:pStyle w:val="a6"/>
          <w:jc w:val="right"/>
        </w:pPr>
        <w:r>
          <w:rPr>
            <w:noProof/>
          </w:rPr>
          <w:fldChar w:fldCharType="begin"/>
        </w:r>
        <w:r>
          <w:rPr>
            <w:noProof/>
          </w:rPr>
          <w:instrText xml:space="preserve"> PAGE   \* MERGEFORMAT </w:instrText>
        </w:r>
        <w:r>
          <w:rPr>
            <w:noProof/>
          </w:rPr>
          <w:fldChar w:fldCharType="separate"/>
        </w:r>
        <w:r w:rsidR="00CA5646">
          <w:rPr>
            <w:noProof/>
          </w:rPr>
          <w:t>4</w:t>
        </w:r>
        <w:r>
          <w:rPr>
            <w:noProof/>
          </w:rPr>
          <w:fldChar w:fldCharType="end"/>
        </w:r>
      </w:p>
    </w:sdtContent>
  </w:sdt>
  <w:p w:rsidR="00CA5646" w:rsidRDefault="00CA56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056D"/>
    <w:multiLevelType w:val="hybridMultilevel"/>
    <w:tmpl w:val="8B800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D47F33"/>
    <w:multiLevelType w:val="hybridMultilevel"/>
    <w:tmpl w:val="3FE0E372"/>
    <w:lvl w:ilvl="0" w:tplc="4A7034F8">
      <w:start w:val="1"/>
      <w:numFmt w:val="decimal"/>
      <w:lvlText w:val="%1."/>
      <w:lvlJc w:val="left"/>
      <w:pPr>
        <w:tabs>
          <w:tab w:val="num" w:pos="720"/>
        </w:tabs>
        <w:ind w:left="720" w:hanging="360"/>
      </w:pPr>
    </w:lvl>
    <w:lvl w:ilvl="1" w:tplc="8F3C8C90" w:tentative="1">
      <w:start w:val="1"/>
      <w:numFmt w:val="decimal"/>
      <w:lvlText w:val="%2."/>
      <w:lvlJc w:val="left"/>
      <w:pPr>
        <w:tabs>
          <w:tab w:val="num" w:pos="1440"/>
        </w:tabs>
        <w:ind w:left="1440" w:hanging="360"/>
      </w:pPr>
    </w:lvl>
    <w:lvl w:ilvl="2" w:tplc="E128714E" w:tentative="1">
      <w:start w:val="1"/>
      <w:numFmt w:val="decimal"/>
      <w:lvlText w:val="%3."/>
      <w:lvlJc w:val="left"/>
      <w:pPr>
        <w:tabs>
          <w:tab w:val="num" w:pos="2160"/>
        </w:tabs>
        <w:ind w:left="2160" w:hanging="360"/>
      </w:pPr>
    </w:lvl>
    <w:lvl w:ilvl="3" w:tplc="5B8A1DE0" w:tentative="1">
      <w:start w:val="1"/>
      <w:numFmt w:val="decimal"/>
      <w:lvlText w:val="%4."/>
      <w:lvlJc w:val="left"/>
      <w:pPr>
        <w:tabs>
          <w:tab w:val="num" w:pos="2880"/>
        </w:tabs>
        <w:ind w:left="2880" w:hanging="360"/>
      </w:pPr>
    </w:lvl>
    <w:lvl w:ilvl="4" w:tplc="8B3C20E0" w:tentative="1">
      <w:start w:val="1"/>
      <w:numFmt w:val="decimal"/>
      <w:lvlText w:val="%5."/>
      <w:lvlJc w:val="left"/>
      <w:pPr>
        <w:tabs>
          <w:tab w:val="num" w:pos="3600"/>
        </w:tabs>
        <w:ind w:left="3600" w:hanging="360"/>
      </w:pPr>
    </w:lvl>
    <w:lvl w:ilvl="5" w:tplc="9B7EB22E" w:tentative="1">
      <w:start w:val="1"/>
      <w:numFmt w:val="decimal"/>
      <w:lvlText w:val="%6."/>
      <w:lvlJc w:val="left"/>
      <w:pPr>
        <w:tabs>
          <w:tab w:val="num" w:pos="4320"/>
        </w:tabs>
        <w:ind w:left="4320" w:hanging="360"/>
      </w:pPr>
    </w:lvl>
    <w:lvl w:ilvl="6" w:tplc="FDBA788A" w:tentative="1">
      <w:start w:val="1"/>
      <w:numFmt w:val="decimal"/>
      <w:lvlText w:val="%7."/>
      <w:lvlJc w:val="left"/>
      <w:pPr>
        <w:tabs>
          <w:tab w:val="num" w:pos="5040"/>
        </w:tabs>
        <w:ind w:left="5040" w:hanging="360"/>
      </w:pPr>
    </w:lvl>
    <w:lvl w:ilvl="7" w:tplc="DBC6E6FC" w:tentative="1">
      <w:start w:val="1"/>
      <w:numFmt w:val="decimal"/>
      <w:lvlText w:val="%8."/>
      <w:lvlJc w:val="left"/>
      <w:pPr>
        <w:tabs>
          <w:tab w:val="num" w:pos="5760"/>
        </w:tabs>
        <w:ind w:left="5760" w:hanging="360"/>
      </w:pPr>
    </w:lvl>
    <w:lvl w:ilvl="8" w:tplc="0EE0E69C" w:tentative="1">
      <w:start w:val="1"/>
      <w:numFmt w:val="decimal"/>
      <w:lvlText w:val="%9."/>
      <w:lvlJc w:val="left"/>
      <w:pPr>
        <w:tabs>
          <w:tab w:val="num" w:pos="6480"/>
        </w:tabs>
        <w:ind w:left="6480" w:hanging="360"/>
      </w:pPr>
    </w:lvl>
  </w:abstractNum>
  <w:abstractNum w:abstractNumId="2" w15:restartNumberingAfterBreak="0">
    <w:nsid w:val="490E6B9D"/>
    <w:multiLevelType w:val="hybridMultilevel"/>
    <w:tmpl w:val="8C6EE970"/>
    <w:lvl w:ilvl="0" w:tplc="03344FA0">
      <w:start w:val="1"/>
      <w:numFmt w:val="decimal"/>
      <w:lvlText w:val="%1."/>
      <w:lvlJc w:val="left"/>
      <w:pPr>
        <w:tabs>
          <w:tab w:val="num" w:pos="720"/>
        </w:tabs>
        <w:ind w:left="720" w:hanging="360"/>
      </w:pPr>
    </w:lvl>
    <w:lvl w:ilvl="1" w:tplc="28BE4942" w:tentative="1">
      <w:start w:val="1"/>
      <w:numFmt w:val="decimal"/>
      <w:lvlText w:val="%2."/>
      <w:lvlJc w:val="left"/>
      <w:pPr>
        <w:tabs>
          <w:tab w:val="num" w:pos="1440"/>
        </w:tabs>
        <w:ind w:left="1440" w:hanging="360"/>
      </w:pPr>
    </w:lvl>
    <w:lvl w:ilvl="2" w:tplc="E960884C" w:tentative="1">
      <w:start w:val="1"/>
      <w:numFmt w:val="decimal"/>
      <w:lvlText w:val="%3."/>
      <w:lvlJc w:val="left"/>
      <w:pPr>
        <w:tabs>
          <w:tab w:val="num" w:pos="2160"/>
        </w:tabs>
        <w:ind w:left="2160" w:hanging="360"/>
      </w:pPr>
    </w:lvl>
    <w:lvl w:ilvl="3" w:tplc="5AEEBADC" w:tentative="1">
      <w:start w:val="1"/>
      <w:numFmt w:val="decimal"/>
      <w:lvlText w:val="%4."/>
      <w:lvlJc w:val="left"/>
      <w:pPr>
        <w:tabs>
          <w:tab w:val="num" w:pos="2880"/>
        </w:tabs>
        <w:ind w:left="2880" w:hanging="360"/>
      </w:pPr>
    </w:lvl>
    <w:lvl w:ilvl="4" w:tplc="0074A044" w:tentative="1">
      <w:start w:val="1"/>
      <w:numFmt w:val="decimal"/>
      <w:lvlText w:val="%5."/>
      <w:lvlJc w:val="left"/>
      <w:pPr>
        <w:tabs>
          <w:tab w:val="num" w:pos="3600"/>
        </w:tabs>
        <w:ind w:left="3600" w:hanging="360"/>
      </w:pPr>
    </w:lvl>
    <w:lvl w:ilvl="5" w:tplc="CBC494B0" w:tentative="1">
      <w:start w:val="1"/>
      <w:numFmt w:val="decimal"/>
      <w:lvlText w:val="%6."/>
      <w:lvlJc w:val="left"/>
      <w:pPr>
        <w:tabs>
          <w:tab w:val="num" w:pos="4320"/>
        </w:tabs>
        <w:ind w:left="4320" w:hanging="360"/>
      </w:pPr>
    </w:lvl>
    <w:lvl w:ilvl="6" w:tplc="C25E3686" w:tentative="1">
      <w:start w:val="1"/>
      <w:numFmt w:val="decimal"/>
      <w:lvlText w:val="%7."/>
      <w:lvlJc w:val="left"/>
      <w:pPr>
        <w:tabs>
          <w:tab w:val="num" w:pos="5040"/>
        </w:tabs>
        <w:ind w:left="5040" w:hanging="360"/>
      </w:pPr>
    </w:lvl>
    <w:lvl w:ilvl="7" w:tplc="07244E8C" w:tentative="1">
      <w:start w:val="1"/>
      <w:numFmt w:val="decimal"/>
      <w:lvlText w:val="%8."/>
      <w:lvlJc w:val="left"/>
      <w:pPr>
        <w:tabs>
          <w:tab w:val="num" w:pos="5760"/>
        </w:tabs>
        <w:ind w:left="5760" w:hanging="360"/>
      </w:pPr>
    </w:lvl>
    <w:lvl w:ilvl="8" w:tplc="AC5009A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AF"/>
    <w:rsid w:val="0017662A"/>
    <w:rsid w:val="001E1482"/>
    <w:rsid w:val="002038AF"/>
    <w:rsid w:val="00973DDA"/>
    <w:rsid w:val="00CA5646"/>
    <w:rsid w:val="00CD0117"/>
    <w:rsid w:val="00E03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E4F15-14C4-4F0B-AE9C-D72BF71D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8AF"/>
  </w:style>
  <w:style w:type="paragraph" w:styleId="1">
    <w:name w:val="heading 1"/>
    <w:basedOn w:val="a"/>
    <w:link w:val="10"/>
    <w:uiPriority w:val="9"/>
    <w:qFormat/>
    <w:rsid w:val="00203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38AF"/>
    <w:pPr>
      <w:ind w:left="720"/>
      <w:contextualSpacing/>
    </w:pPr>
  </w:style>
  <w:style w:type="character" w:customStyle="1" w:styleId="10">
    <w:name w:val="Заголовок 1 Знак"/>
    <w:basedOn w:val="a0"/>
    <w:link w:val="1"/>
    <w:uiPriority w:val="9"/>
    <w:rsid w:val="002038AF"/>
    <w:rPr>
      <w:rFonts w:ascii="Times New Roman" w:eastAsia="Times New Roman" w:hAnsi="Times New Roman" w:cs="Times New Roman"/>
      <w:b/>
      <w:bCs/>
      <w:kern w:val="36"/>
      <w:sz w:val="48"/>
      <w:szCs w:val="48"/>
      <w:lang w:eastAsia="ru-RU"/>
    </w:rPr>
  </w:style>
  <w:style w:type="character" w:customStyle="1" w:styleId="nobr">
    <w:name w:val="nobr"/>
    <w:basedOn w:val="a0"/>
    <w:rsid w:val="002038AF"/>
  </w:style>
  <w:style w:type="character" w:styleId="a5">
    <w:name w:val="Hyperlink"/>
    <w:basedOn w:val="a0"/>
    <w:uiPriority w:val="99"/>
    <w:semiHidden/>
    <w:unhideWhenUsed/>
    <w:rsid w:val="00973DDA"/>
    <w:rPr>
      <w:color w:val="0000FF"/>
      <w:u w:val="single"/>
    </w:rPr>
  </w:style>
  <w:style w:type="paragraph" w:styleId="a6">
    <w:name w:val="header"/>
    <w:basedOn w:val="a"/>
    <w:link w:val="a7"/>
    <w:uiPriority w:val="99"/>
    <w:unhideWhenUsed/>
    <w:rsid w:val="00CA56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646"/>
  </w:style>
  <w:style w:type="paragraph" w:styleId="a8">
    <w:name w:val="footer"/>
    <w:basedOn w:val="a"/>
    <w:link w:val="a9"/>
    <w:uiPriority w:val="99"/>
    <w:semiHidden/>
    <w:unhideWhenUsed/>
    <w:rsid w:val="00CA564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6907">
      <w:bodyDiv w:val="1"/>
      <w:marLeft w:val="0"/>
      <w:marRight w:val="0"/>
      <w:marTop w:val="0"/>
      <w:marBottom w:val="0"/>
      <w:divBdr>
        <w:top w:val="none" w:sz="0" w:space="0" w:color="auto"/>
        <w:left w:val="none" w:sz="0" w:space="0" w:color="auto"/>
        <w:bottom w:val="none" w:sz="0" w:space="0" w:color="auto"/>
        <w:right w:val="none" w:sz="0" w:space="0" w:color="auto"/>
      </w:divBdr>
      <w:divsChild>
        <w:div w:id="771049327">
          <w:marLeft w:val="360"/>
          <w:marRight w:val="0"/>
          <w:marTop w:val="0"/>
          <w:marBottom w:val="60"/>
          <w:divBdr>
            <w:top w:val="none" w:sz="0" w:space="0" w:color="auto"/>
            <w:left w:val="none" w:sz="0" w:space="0" w:color="auto"/>
            <w:bottom w:val="none" w:sz="0" w:space="0" w:color="auto"/>
            <w:right w:val="none" w:sz="0" w:space="0" w:color="auto"/>
          </w:divBdr>
        </w:div>
      </w:divsChild>
    </w:div>
    <w:div w:id="329992201">
      <w:bodyDiv w:val="1"/>
      <w:marLeft w:val="0"/>
      <w:marRight w:val="0"/>
      <w:marTop w:val="0"/>
      <w:marBottom w:val="0"/>
      <w:divBdr>
        <w:top w:val="none" w:sz="0" w:space="0" w:color="auto"/>
        <w:left w:val="none" w:sz="0" w:space="0" w:color="auto"/>
        <w:bottom w:val="none" w:sz="0" w:space="0" w:color="auto"/>
        <w:right w:val="none" w:sz="0" w:space="0" w:color="auto"/>
      </w:divBdr>
    </w:div>
    <w:div w:id="399711536">
      <w:bodyDiv w:val="1"/>
      <w:marLeft w:val="0"/>
      <w:marRight w:val="0"/>
      <w:marTop w:val="0"/>
      <w:marBottom w:val="0"/>
      <w:divBdr>
        <w:top w:val="none" w:sz="0" w:space="0" w:color="auto"/>
        <w:left w:val="none" w:sz="0" w:space="0" w:color="auto"/>
        <w:bottom w:val="none" w:sz="0" w:space="0" w:color="auto"/>
        <w:right w:val="none" w:sz="0" w:space="0" w:color="auto"/>
      </w:divBdr>
    </w:div>
    <w:div w:id="529269175">
      <w:bodyDiv w:val="1"/>
      <w:marLeft w:val="0"/>
      <w:marRight w:val="0"/>
      <w:marTop w:val="0"/>
      <w:marBottom w:val="0"/>
      <w:divBdr>
        <w:top w:val="none" w:sz="0" w:space="0" w:color="auto"/>
        <w:left w:val="none" w:sz="0" w:space="0" w:color="auto"/>
        <w:bottom w:val="none" w:sz="0" w:space="0" w:color="auto"/>
        <w:right w:val="none" w:sz="0" w:space="0" w:color="auto"/>
      </w:divBdr>
      <w:divsChild>
        <w:div w:id="1373307548">
          <w:marLeft w:val="360"/>
          <w:marRight w:val="0"/>
          <w:marTop w:val="0"/>
          <w:marBottom w:val="60"/>
          <w:divBdr>
            <w:top w:val="none" w:sz="0" w:space="0" w:color="auto"/>
            <w:left w:val="none" w:sz="0" w:space="0" w:color="auto"/>
            <w:bottom w:val="none" w:sz="0" w:space="0" w:color="auto"/>
            <w:right w:val="none" w:sz="0" w:space="0" w:color="auto"/>
          </w:divBdr>
        </w:div>
      </w:divsChild>
    </w:div>
    <w:div w:id="557976731">
      <w:bodyDiv w:val="1"/>
      <w:marLeft w:val="0"/>
      <w:marRight w:val="0"/>
      <w:marTop w:val="0"/>
      <w:marBottom w:val="0"/>
      <w:divBdr>
        <w:top w:val="none" w:sz="0" w:space="0" w:color="auto"/>
        <w:left w:val="none" w:sz="0" w:space="0" w:color="auto"/>
        <w:bottom w:val="none" w:sz="0" w:space="0" w:color="auto"/>
        <w:right w:val="none" w:sz="0" w:space="0" w:color="auto"/>
      </w:divBdr>
    </w:div>
    <w:div w:id="564339311">
      <w:bodyDiv w:val="1"/>
      <w:marLeft w:val="0"/>
      <w:marRight w:val="0"/>
      <w:marTop w:val="0"/>
      <w:marBottom w:val="0"/>
      <w:divBdr>
        <w:top w:val="none" w:sz="0" w:space="0" w:color="auto"/>
        <w:left w:val="none" w:sz="0" w:space="0" w:color="auto"/>
        <w:bottom w:val="none" w:sz="0" w:space="0" w:color="auto"/>
        <w:right w:val="none" w:sz="0" w:space="0" w:color="auto"/>
      </w:divBdr>
    </w:div>
    <w:div w:id="761216583">
      <w:bodyDiv w:val="1"/>
      <w:marLeft w:val="0"/>
      <w:marRight w:val="0"/>
      <w:marTop w:val="0"/>
      <w:marBottom w:val="0"/>
      <w:divBdr>
        <w:top w:val="none" w:sz="0" w:space="0" w:color="auto"/>
        <w:left w:val="none" w:sz="0" w:space="0" w:color="auto"/>
        <w:bottom w:val="none" w:sz="0" w:space="0" w:color="auto"/>
        <w:right w:val="none" w:sz="0" w:space="0" w:color="auto"/>
      </w:divBdr>
    </w:div>
    <w:div w:id="1086460051">
      <w:bodyDiv w:val="1"/>
      <w:marLeft w:val="0"/>
      <w:marRight w:val="0"/>
      <w:marTop w:val="0"/>
      <w:marBottom w:val="0"/>
      <w:divBdr>
        <w:top w:val="none" w:sz="0" w:space="0" w:color="auto"/>
        <w:left w:val="none" w:sz="0" w:space="0" w:color="auto"/>
        <w:bottom w:val="none" w:sz="0" w:space="0" w:color="auto"/>
        <w:right w:val="none" w:sz="0" w:space="0" w:color="auto"/>
      </w:divBdr>
    </w:div>
    <w:div w:id="1106119189">
      <w:bodyDiv w:val="1"/>
      <w:marLeft w:val="0"/>
      <w:marRight w:val="0"/>
      <w:marTop w:val="0"/>
      <w:marBottom w:val="0"/>
      <w:divBdr>
        <w:top w:val="none" w:sz="0" w:space="0" w:color="auto"/>
        <w:left w:val="none" w:sz="0" w:space="0" w:color="auto"/>
        <w:bottom w:val="none" w:sz="0" w:space="0" w:color="auto"/>
        <w:right w:val="none" w:sz="0" w:space="0" w:color="auto"/>
      </w:divBdr>
    </w:div>
    <w:div w:id="1137647769">
      <w:bodyDiv w:val="1"/>
      <w:marLeft w:val="0"/>
      <w:marRight w:val="0"/>
      <w:marTop w:val="0"/>
      <w:marBottom w:val="0"/>
      <w:divBdr>
        <w:top w:val="none" w:sz="0" w:space="0" w:color="auto"/>
        <w:left w:val="none" w:sz="0" w:space="0" w:color="auto"/>
        <w:bottom w:val="none" w:sz="0" w:space="0" w:color="auto"/>
        <w:right w:val="none" w:sz="0" w:space="0" w:color="auto"/>
      </w:divBdr>
    </w:div>
    <w:div w:id="1236235781">
      <w:bodyDiv w:val="1"/>
      <w:marLeft w:val="0"/>
      <w:marRight w:val="0"/>
      <w:marTop w:val="0"/>
      <w:marBottom w:val="0"/>
      <w:divBdr>
        <w:top w:val="none" w:sz="0" w:space="0" w:color="auto"/>
        <w:left w:val="none" w:sz="0" w:space="0" w:color="auto"/>
        <w:bottom w:val="none" w:sz="0" w:space="0" w:color="auto"/>
        <w:right w:val="none" w:sz="0" w:space="0" w:color="auto"/>
      </w:divBdr>
    </w:div>
    <w:div w:id="1601524647">
      <w:bodyDiv w:val="1"/>
      <w:marLeft w:val="0"/>
      <w:marRight w:val="0"/>
      <w:marTop w:val="0"/>
      <w:marBottom w:val="0"/>
      <w:divBdr>
        <w:top w:val="none" w:sz="0" w:space="0" w:color="auto"/>
        <w:left w:val="none" w:sz="0" w:space="0" w:color="auto"/>
        <w:bottom w:val="none" w:sz="0" w:space="0" w:color="auto"/>
        <w:right w:val="none" w:sz="0" w:space="0" w:color="auto"/>
      </w:divBdr>
      <w:divsChild>
        <w:div w:id="1609000234">
          <w:marLeft w:val="0"/>
          <w:marRight w:val="0"/>
          <w:marTop w:val="150"/>
          <w:marBottom w:val="75"/>
          <w:divBdr>
            <w:top w:val="none" w:sz="0" w:space="0" w:color="auto"/>
            <w:left w:val="single" w:sz="48" w:space="0" w:color="FFFFFF"/>
            <w:bottom w:val="none" w:sz="0" w:space="0" w:color="auto"/>
            <w:right w:val="none" w:sz="0" w:space="0" w:color="auto"/>
          </w:divBdr>
          <w:divsChild>
            <w:div w:id="791098991">
              <w:marLeft w:val="0"/>
              <w:marRight w:val="0"/>
              <w:marTop w:val="0"/>
              <w:marBottom w:val="0"/>
              <w:divBdr>
                <w:top w:val="none" w:sz="0" w:space="0" w:color="auto"/>
                <w:left w:val="none" w:sz="0" w:space="0" w:color="auto"/>
                <w:bottom w:val="none" w:sz="0" w:space="0" w:color="auto"/>
                <w:right w:val="none" w:sz="0" w:space="0" w:color="auto"/>
              </w:divBdr>
              <w:divsChild>
                <w:div w:id="282467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3112561">
          <w:marLeft w:val="0"/>
          <w:marRight w:val="0"/>
          <w:marTop w:val="0"/>
          <w:marBottom w:val="285"/>
          <w:divBdr>
            <w:top w:val="single" w:sz="36" w:space="4" w:color="DDDDDD"/>
            <w:left w:val="none" w:sz="0" w:space="0" w:color="auto"/>
            <w:bottom w:val="none" w:sz="0" w:space="0" w:color="auto"/>
            <w:right w:val="none" w:sz="0" w:space="0" w:color="auto"/>
          </w:divBdr>
        </w:div>
        <w:div w:id="1856992393">
          <w:marLeft w:val="0"/>
          <w:marRight w:val="0"/>
          <w:marTop w:val="0"/>
          <w:marBottom w:val="0"/>
          <w:divBdr>
            <w:top w:val="none" w:sz="0" w:space="0" w:color="auto"/>
            <w:left w:val="none" w:sz="0" w:space="0" w:color="auto"/>
            <w:bottom w:val="none" w:sz="0" w:space="0" w:color="auto"/>
            <w:right w:val="none" w:sz="0" w:space="0" w:color="auto"/>
          </w:divBdr>
        </w:div>
      </w:divsChild>
    </w:div>
    <w:div w:id="1628732585">
      <w:bodyDiv w:val="1"/>
      <w:marLeft w:val="0"/>
      <w:marRight w:val="0"/>
      <w:marTop w:val="0"/>
      <w:marBottom w:val="0"/>
      <w:divBdr>
        <w:top w:val="none" w:sz="0" w:space="0" w:color="auto"/>
        <w:left w:val="none" w:sz="0" w:space="0" w:color="auto"/>
        <w:bottom w:val="none" w:sz="0" w:space="0" w:color="auto"/>
        <w:right w:val="none" w:sz="0" w:space="0" w:color="auto"/>
      </w:divBdr>
    </w:div>
    <w:div w:id="1678843954">
      <w:bodyDiv w:val="1"/>
      <w:marLeft w:val="0"/>
      <w:marRight w:val="0"/>
      <w:marTop w:val="0"/>
      <w:marBottom w:val="0"/>
      <w:divBdr>
        <w:top w:val="none" w:sz="0" w:space="0" w:color="auto"/>
        <w:left w:val="none" w:sz="0" w:space="0" w:color="auto"/>
        <w:bottom w:val="none" w:sz="0" w:space="0" w:color="auto"/>
        <w:right w:val="none" w:sz="0" w:space="0" w:color="auto"/>
      </w:divBdr>
    </w:div>
    <w:div w:id="1872498111">
      <w:bodyDiv w:val="1"/>
      <w:marLeft w:val="0"/>
      <w:marRight w:val="0"/>
      <w:marTop w:val="0"/>
      <w:marBottom w:val="0"/>
      <w:divBdr>
        <w:top w:val="none" w:sz="0" w:space="0" w:color="auto"/>
        <w:left w:val="none" w:sz="0" w:space="0" w:color="auto"/>
        <w:bottom w:val="none" w:sz="0" w:space="0" w:color="auto"/>
        <w:right w:val="none" w:sz="0" w:space="0" w:color="auto"/>
      </w:divBdr>
    </w:div>
    <w:div w:id="1888956559">
      <w:bodyDiv w:val="1"/>
      <w:marLeft w:val="0"/>
      <w:marRight w:val="0"/>
      <w:marTop w:val="0"/>
      <w:marBottom w:val="0"/>
      <w:divBdr>
        <w:top w:val="none" w:sz="0" w:space="0" w:color="auto"/>
        <w:left w:val="none" w:sz="0" w:space="0" w:color="auto"/>
        <w:bottom w:val="none" w:sz="0" w:space="0" w:color="auto"/>
        <w:right w:val="none" w:sz="0" w:space="0" w:color="auto"/>
      </w:divBdr>
      <w:divsChild>
        <w:div w:id="2781398">
          <w:marLeft w:val="0"/>
          <w:marRight w:val="0"/>
          <w:marTop w:val="120"/>
          <w:marBottom w:val="0"/>
          <w:divBdr>
            <w:top w:val="none" w:sz="0" w:space="0" w:color="auto"/>
            <w:left w:val="none" w:sz="0" w:space="0" w:color="auto"/>
            <w:bottom w:val="none" w:sz="0" w:space="0" w:color="auto"/>
            <w:right w:val="none" w:sz="0" w:space="0" w:color="auto"/>
          </w:divBdr>
        </w:div>
      </w:divsChild>
    </w:div>
    <w:div w:id="1939290747">
      <w:bodyDiv w:val="1"/>
      <w:marLeft w:val="0"/>
      <w:marRight w:val="0"/>
      <w:marTop w:val="0"/>
      <w:marBottom w:val="0"/>
      <w:divBdr>
        <w:top w:val="none" w:sz="0" w:space="0" w:color="auto"/>
        <w:left w:val="none" w:sz="0" w:space="0" w:color="auto"/>
        <w:bottom w:val="none" w:sz="0" w:space="0" w:color="auto"/>
        <w:right w:val="none" w:sz="0" w:space="0" w:color="auto"/>
      </w:divBdr>
    </w:div>
    <w:div w:id="1973946884">
      <w:bodyDiv w:val="1"/>
      <w:marLeft w:val="0"/>
      <w:marRight w:val="0"/>
      <w:marTop w:val="0"/>
      <w:marBottom w:val="0"/>
      <w:divBdr>
        <w:top w:val="none" w:sz="0" w:space="0" w:color="auto"/>
        <w:left w:val="none" w:sz="0" w:space="0" w:color="auto"/>
        <w:bottom w:val="none" w:sz="0" w:space="0" w:color="auto"/>
        <w:right w:val="none" w:sz="0" w:space="0" w:color="auto"/>
      </w:divBdr>
    </w:div>
    <w:div w:id="20237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CC21E-FB26-4A66-8026-1D89C54A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I</cp:lastModifiedBy>
  <cp:revision>2</cp:revision>
  <dcterms:created xsi:type="dcterms:W3CDTF">2019-01-09T14:09:00Z</dcterms:created>
  <dcterms:modified xsi:type="dcterms:W3CDTF">2019-01-09T14:09:00Z</dcterms:modified>
</cp:coreProperties>
</file>